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eastAsia" w:ascii="Times New Roman" w:hAnsi="Times New Roman" w:eastAsia="仿宋_GB2312"/>
          <w:sz w:val="32"/>
          <w:szCs w:val="32"/>
        </w:rPr>
      </w:pPr>
    </w:p>
    <w:p>
      <w:pPr>
        <w:keepNext w:val="0"/>
        <w:keepLines w:val="0"/>
        <w:widowControl/>
        <w:suppressLineNumbers w:val="0"/>
        <w:jc w:val="left"/>
        <w:rPr>
          <w:rFonts w:hint="eastAsia"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宋体" w:cs="Times New Roman"/>
          <w:b/>
          <w:bCs/>
          <w:sz w:val="44"/>
          <w:szCs w:val="44"/>
        </w:rPr>
      </w:pPr>
      <w:r>
        <w:rPr>
          <w:rFonts w:hint="default" w:ascii="Times New Roman" w:hAnsi="Times New Roman" w:eastAsia="宋体" w:cs="Times New Roman"/>
          <w:b/>
          <w:bCs/>
          <w:spacing w:val="-20"/>
          <w:sz w:val="44"/>
          <w:szCs w:val="44"/>
        </w:rPr>
        <w:t>湖南省人民政府2021年政</w:t>
      </w:r>
      <w:bookmarkStart w:id="0" w:name="_GoBack"/>
      <w:bookmarkEnd w:id="0"/>
      <w:r>
        <w:rPr>
          <w:rFonts w:hint="default" w:ascii="Times New Roman" w:hAnsi="Times New Roman" w:eastAsia="宋体" w:cs="Times New Roman"/>
          <w:b/>
          <w:bCs/>
          <w:spacing w:val="-20"/>
          <w:sz w:val="44"/>
          <w:szCs w:val="44"/>
        </w:rPr>
        <w:t>府信息公开工作报告</w:t>
      </w:r>
    </w:p>
    <w:p>
      <w:pPr>
        <w:keepNext w:val="0"/>
        <w:keepLines w:val="0"/>
        <w:widowControl/>
        <w:suppressLineNumbers w:val="0"/>
        <w:jc w:val="left"/>
        <w:rPr>
          <w:rFonts w:hint="default" w:ascii="Times New Roman" w:hAnsi="Times New Roman" w:eastAsia="仿宋_GB2312"/>
          <w:sz w:val="32"/>
          <w:szCs w:val="32"/>
        </w:rPr>
      </w:pPr>
    </w:p>
    <w:p>
      <w:pPr>
        <w:keepNext w:val="0"/>
        <w:keepLines w:val="0"/>
        <w:widowControl/>
        <w:suppressLineNumbers w:val="0"/>
        <w:ind w:firstLine="640" w:firstLineChars="200"/>
        <w:jc w:val="both"/>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根据《中华人民共和国政府信息公开条例》（国务院令第711号）规定，</w:t>
      </w:r>
      <w:r>
        <w:rPr>
          <w:rFonts w:hint="eastAsia" w:ascii="Times New Roman" w:hAnsi="Times New Roman" w:eastAsia="仿宋_GB2312"/>
          <w:sz w:val="32"/>
          <w:szCs w:val="32"/>
          <w:lang w:eastAsia="zh-CN"/>
        </w:rPr>
        <w:t>以及</w:t>
      </w:r>
      <w:r>
        <w:rPr>
          <w:rFonts w:hint="eastAsia" w:ascii="Times New Roman" w:hAnsi="Times New Roman" w:eastAsia="仿宋_GB2312"/>
          <w:sz w:val="32"/>
          <w:szCs w:val="32"/>
        </w:rPr>
        <w:t>《国务院办公厅政府信息与政务公开办公室关于印发〈中华人民共和国政府信息公开工作年度报告格式〉的通知》</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国办公开办函〔2021〕30号</w:t>
      </w:r>
      <w:r>
        <w:rPr>
          <w:rFonts w:hint="eastAsia" w:ascii="Times New Roman" w:hAnsi="Times New Roman" w:eastAsia="仿宋_GB2312"/>
          <w:sz w:val="32"/>
          <w:szCs w:val="32"/>
          <w:lang w:eastAsia="zh-CN"/>
        </w:rPr>
        <w:t>）要求</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现将湖南省人民政府2021年政府信息公开工作报告如下：</w:t>
      </w:r>
    </w:p>
    <w:p>
      <w:pPr>
        <w:keepNext w:val="0"/>
        <w:keepLines w:val="0"/>
        <w:widowControl/>
        <w:suppressLineNumbers w:val="0"/>
        <w:ind w:firstLine="640" w:firstLineChars="200"/>
        <w:jc w:val="both"/>
        <w:rPr>
          <w:rFonts w:hint="eastAsia" w:ascii="Times New Roman" w:hAnsi="Times New Roman" w:eastAsia="仿宋_GB2312"/>
          <w:sz w:val="32"/>
          <w:szCs w:val="32"/>
          <w:lang w:eastAsia="zh-CN"/>
        </w:rPr>
      </w:pPr>
      <w:r>
        <w:rPr>
          <w:rFonts w:hint="eastAsia" w:ascii="黑体" w:hAnsi="黑体" w:eastAsia="黑体" w:cs="黑体"/>
          <w:sz w:val="32"/>
          <w:szCs w:val="32"/>
          <w:lang w:eastAsia="zh-CN"/>
        </w:rPr>
        <w:t>一、总体情况</w:t>
      </w:r>
    </w:p>
    <w:p>
      <w:pPr>
        <w:keepNext w:val="0"/>
        <w:keepLines w:val="0"/>
        <w:widowControl/>
        <w:suppressLineNumbers w:val="0"/>
        <w:ind w:firstLine="640" w:firstLineChars="200"/>
        <w:jc w:val="both"/>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年，</w:t>
      </w:r>
      <w:r>
        <w:rPr>
          <w:rFonts w:hint="eastAsia" w:ascii="Times New Roman" w:hAnsi="Times New Roman" w:eastAsia="仿宋_GB2312"/>
          <w:sz w:val="32"/>
          <w:szCs w:val="32"/>
          <w:lang w:eastAsia="zh-CN"/>
        </w:rPr>
        <w:t>全</w:t>
      </w:r>
      <w:r>
        <w:rPr>
          <w:rFonts w:hint="eastAsia" w:ascii="Times New Roman" w:hAnsi="Times New Roman" w:eastAsia="仿宋_GB2312"/>
          <w:sz w:val="32"/>
          <w:szCs w:val="32"/>
        </w:rPr>
        <w:t>省</w:t>
      </w:r>
      <w:r>
        <w:rPr>
          <w:rFonts w:hint="eastAsia" w:ascii="Times New Roman" w:hAnsi="Times New Roman" w:eastAsia="仿宋_GB2312"/>
          <w:sz w:val="32"/>
          <w:szCs w:val="32"/>
          <w:lang w:eastAsia="zh-CN"/>
        </w:rPr>
        <w:t>各级各部门</w:t>
      </w:r>
      <w:r>
        <w:rPr>
          <w:rFonts w:hint="eastAsia" w:ascii="Times New Roman" w:hAnsi="Times New Roman" w:eastAsia="仿宋_GB2312"/>
          <w:sz w:val="32"/>
          <w:szCs w:val="32"/>
          <w:lang w:val="en-US" w:eastAsia="zh-CN"/>
        </w:rPr>
        <w:t>深入贯彻落实党中央、国务院关于深化政务公开各项决策部署和省委、省政府工作要求，紧紧围绕全面落实“三高四新”战略定位和使命任务，坚持“稳进高新”工作方针，坚持以人民为中心，持续深化政务公开，服务于建设现代化新湖南见到新气象。</w:t>
      </w:r>
    </w:p>
    <w:p>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sz w:val="32"/>
          <w:szCs w:val="32"/>
          <w:lang w:val="en-US" w:eastAsia="zh-CN"/>
        </w:rPr>
      </w:pPr>
      <w:r>
        <w:rPr>
          <w:rFonts w:hint="eastAsia" w:ascii="仿宋_GB2312" w:hAnsi="仿宋_GB2312" w:eastAsia="仿宋_GB2312" w:cs="仿宋_GB2312"/>
          <w:b/>
          <w:bCs/>
          <w:sz w:val="32"/>
          <w:szCs w:val="32"/>
        </w:rPr>
        <w:t>（一）主动公开</w:t>
      </w:r>
      <w:r>
        <w:rPr>
          <w:rFonts w:hint="eastAsia" w:ascii="仿宋_GB2312" w:hAnsi="仿宋_GB2312" w:eastAsia="仿宋_GB2312" w:cs="仿宋_GB2312"/>
          <w:b/>
          <w:bCs/>
          <w:sz w:val="32"/>
          <w:szCs w:val="32"/>
          <w:lang w:eastAsia="zh-CN"/>
        </w:rPr>
        <w:t>情况</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紧扣“十四五”开好局起好步加强主动公开。</w:t>
      </w:r>
      <w:r>
        <w:rPr>
          <w:rFonts w:hint="eastAsia" w:ascii="Times New Roman" w:hAnsi="Times New Roman" w:eastAsia="仿宋_GB2312"/>
          <w:sz w:val="32"/>
          <w:szCs w:val="32"/>
          <w:lang w:val="en-US" w:eastAsia="zh-CN"/>
        </w:rPr>
        <w:t>在省政府门户网站开设</w:t>
      </w:r>
      <w:r>
        <w:rPr>
          <w:rFonts w:hint="default" w:ascii="Times New Roman" w:hAnsi="Times New Roman" w:eastAsia="仿宋_GB2312"/>
          <w:sz w:val="32"/>
          <w:szCs w:val="32"/>
          <w:lang w:val="en-US" w:eastAsia="zh-CN"/>
        </w:rPr>
        <w:t>湖南</w:t>
      </w:r>
      <w:r>
        <w:rPr>
          <w:rFonts w:hint="eastAsia" w:ascii="Times New Roman" w:hAnsi="Times New Roman" w:eastAsia="仿宋_GB2312"/>
          <w:sz w:val="32"/>
          <w:szCs w:val="32"/>
          <w:lang w:val="en-US" w:eastAsia="zh-CN"/>
        </w:rPr>
        <w:t>“</w:t>
      </w:r>
      <w:r>
        <w:rPr>
          <w:rFonts w:hint="default" w:ascii="Times New Roman" w:hAnsi="Times New Roman" w:eastAsia="仿宋_GB2312"/>
          <w:sz w:val="32"/>
          <w:szCs w:val="32"/>
          <w:lang w:val="en-US" w:eastAsia="zh-CN"/>
        </w:rPr>
        <w:t>十四五</w:t>
      </w:r>
      <w:r>
        <w:rPr>
          <w:rFonts w:hint="eastAsia" w:ascii="Times New Roman" w:hAnsi="Times New Roman" w:eastAsia="仿宋_GB2312"/>
          <w:sz w:val="32"/>
          <w:szCs w:val="32"/>
          <w:lang w:val="en-US" w:eastAsia="zh-CN"/>
        </w:rPr>
        <w:t>”</w:t>
      </w:r>
      <w:r>
        <w:rPr>
          <w:rFonts w:hint="default" w:ascii="Times New Roman" w:hAnsi="Times New Roman" w:eastAsia="仿宋_GB2312"/>
          <w:sz w:val="32"/>
          <w:szCs w:val="32"/>
          <w:lang w:val="en-US" w:eastAsia="zh-CN"/>
        </w:rPr>
        <w:t>规划公开专栏，</w:t>
      </w:r>
      <w:r>
        <w:rPr>
          <w:rFonts w:hint="eastAsia" w:ascii="Times New Roman" w:hAnsi="Times New Roman" w:eastAsia="仿宋_GB2312"/>
          <w:sz w:val="32"/>
          <w:szCs w:val="32"/>
          <w:lang w:val="en-US" w:eastAsia="zh-CN"/>
        </w:rPr>
        <w:t>集中</w:t>
      </w:r>
      <w:r>
        <w:rPr>
          <w:rFonts w:hint="default" w:ascii="Times New Roman" w:hAnsi="Times New Roman" w:eastAsia="仿宋_GB2312"/>
          <w:sz w:val="32"/>
          <w:szCs w:val="32"/>
          <w:lang w:val="en-US" w:eastAsia="zh-CN"/>
        </w:rPr>
        <w:t>发布解读《湖南省国民经济和社会发展第十四个五年规划和二〇三五年远景目标纲要》，</w:t>
      </w:r>
      <w:r>
        <w:rPr>
          <w:rFonts w:hint="eastAsia" w:ascii="Times New Roman" w:hAnsi="Times New Roman" w:eastAsia="仿宋_GB2312"/>
          <w:sz w:val="32"/>
          <w:szCs w:val="32"/>
          <w:lang w:val="en-US" w:eastAsia="zh-CN"/>
        </w:rPr>
        <w:t>以及省本级各类专项规划。创新开展“厅”说规划访谈，邀请</w:t>
      </w:r>
      <w:r>
        <w:rPr>
          <w:rFonts w:hint="default" w:ascii="Times New Roman" w:hAnsi="Times New Roman" w:eastAsia="仿宋_GB2312"/>
          <w:sz w:val="32"/>
          <w:szCs w:val="32"/>
          <w:lang w:val="en" w:eastAsia="zh-CN"/>
        </w:rPr>
        <w:t>省直</w:t>
      </w:r>
      <w:r>
        <w:rPr>
          <w:rFonts w:hint="eastAsia" w:ascii="Times New Roman" w:hAnsi="Times New Roman" w:eastAsia="仿宋_GB2312"/>
          <w:sz w:val="32"/>
          <w:szCs w:val="32"/>
          <w:lang w:val="en" w:eastAsia="zh-CN"/>
        </w:rPr>
        <w:t>部门</w:t>
      </w:r>
      <w:r>
        <w:rPr>
          <w:rFonts w:hint="default" w:ascii="Times New Roman" w:hAnsi="Times New Roman" w:eastAsia="仿宋_GB2312"/>
          <w:sz w:val="32"/>
          <w:szCs w:val="32"/>
          <w:lang w:val="en" w:eastAsia="zh-CN"/>
        </w:rPr>
        <w:t>负责人</w:t>
      </w:r>
      <w:r>
        <w:rPr>
          <w:rFonts w:hint="eastAsia" w:ascii="Times New Roman" w:hAnsi="Times New Roman" w:eastAsia="仿宋_GB2312"/>
          <w:sz w:val="32"/>
          <w:szCs w:val="32"/>
          <w:lang w:val="en-US" w:eastAsia="zh-CN"/>
        </w:rPr>
        <w:t>以在线访谈形式，对相关规划出台的背景、目的、举措等作实质性、贴近性、形象性解读，引导</w:t>
      </w:r>
      <w:r>
        <w:rPr>
          <w:rFonts w:hint="default" w:ascii="Times New Roman" w:hAnsi="Times New Roman" w:eastAsia="仿宋_GB2312"/>
          <w:sz w:val="32"/>
          <w:szCs w:val="32"/>
          <w:lang w:val="en" w:eastAsia="zh-CN"/>
        </w:rPr>
        <w:t>全社会了解理解规划实施预期，关心支持规划实施。</w:t>
      </w:r>
      <w:r>
        <w:rPr>
          <w:rFonts w:hint="eastAsia" w:ascii="Times New Roman" w:hAnsi="Times New Roman" w:eastAsia="仿宋_GB2312"/>
          <w:sz w:val="32"/>
          <w:szCs w:val="32"/>
          <w:lang w:val="en" w:eastAsia="zh-CN"/>
        </w:rPr>
        <w:t>各市州均在政府门户网站开设规划公开专栏，集中公开本级“十四五”规划信息。</w:t>
      </w:r>
      <w:r>
        <w:rPr>
          <w:rFonts w:hint="eastAsia" w:ascii="Times New Roman" w:hAnsi="Times New Roman" w:eastAsia="仿宋_GB2312"/>
          <w:sz w:val="32"/>
          <w:szCs w:val="32"/>
          <w:lang w:eastAsia="zh-CN"/>
        </w:rPr>
        <w:t>依法依规发布</w:t>
      </w:r>
      <w:r>
        <w:rPr>
          <w:rFonts w:hint="eastAsia" w:ascii="Times New Roman" w:hAnsi="Times New Roman" w:eastAsia="仿宋_GB2312"/>
          <w:sz w:val="32"/>
          <w:szCs w:val="32"/>
        </w:rPr>
        <w:t>疫情</w:t>
      </w:r>
      <w:r>
        <w:rPr>
          <w:rFonts w:hint="eastAsia" w:ascii="Times New Roman" w:hAnsi="Times New Roman" w:eastAsia="仿宋_GB2312"/>
          <w:sz w:val="32"/>
          <w:szCs w:val="32"/>
          <w:lang w:eastAsia="zh-CN"/>
        </w:rPr>
        <w:t>防控</w:t>
      </w:r>
      <w:r>
        <w:rPr>
          <w:rFonts w:hint="eastAsia" w:ascii="Times New Roman" w:hAnsi="Times New Roman" w:eastAsia="仿宋_GB2312"/>
          <w:sz w:val="32"/>
          <w:szCs w:val="32"/>
        </w:rPr>
        <w:t>信息</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在省政府</w:t>
      </w:r>
      <w:r>
        <w:rPr>
          <w:rFonts w:hint="eastAsia" w:ascii="Times New Roman" w:hAnsi="Times New Roman" w:eastAsia="仿宋_GB2312"/>
          <w:sz w:val="32"/>
          <w:szCs w:val="32"/>
          <w:lang w:eastAsia="zh-CN"/>
        </w:rPr>
        <w:t>门户</w:t>
      </w:r>
      <w:r>
        <w:rPr>
          <w:rFonts w:hint="eastAsia" w:ascii="Times New Roman" w:hAnsi="Times New Roman" w:eastAsia="仿宋_GB2312"/>
          <w:sz w:val="32"/>
          <w:szCs w:val="32"/>
        </w:rPr>
        <w:t>网站</w:t>
      </w:r>
      <w:r>
        <w:rPr>
          <w:rFonts w:hint="eastAsia" w:ascii="Times New Roman" w:hAnsi="Times New Roman" w:eastAsia="仿宋_GB2312"/>
          <w:sz w:val="32"/>
          <w:szCs w:val="32"/>
          <w:lang w:eastAsia="zh-CN"/>
        </w:rPr>
        <w:t>改版开设</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坚决打赢</w:t>
      </w:r>
      <w:r>
        <w:rPr>
          <w:rFonts w:hint="eastAsia" w:ascii="Times New Roman" w:hAnsi="Times New Roman" w:eastAsia="仿宋_GB2312"/>
          <w:sz w:val="32"/>
          <w:szCs w:val="32"/>
        </w:rPr>
        <w:t>疫情</w:t>
      </w:r>
      <w:r>
        <w:rPr>
          <w:rFonts w:hint="eastAsia" w:ascii="Times New Roman" w:hAnsi="Times New Roman" w:eastAsia="仿宋_GB2312"/>
          <w:sz w:val="32"/>
          <w:szCs w:val="32"/>
          <w:lang w:eastAsia="zh-CN"/>
        </w:rPr>
        <w:t>防控阻击战</w:t>
      </w:r>
      <w:r>
        <w:rPr>
          <w:rFonts w:hint="eastAsia" w:ascii="Times New Roman" w:hAnsi="Times New Roman" w:eastAsia="仿宋_GB2312"/>
          <w:sz w:val="32"/>
          <w:szCs w:val="32"/>
        </w:rPr>
        <w:t>—湖南在行动”专栏，</w:t>
      </w:r>
      <w:r>
        <w:rPr>
          <w:rFonts w:hint="eastAsia" w:ascii="Times New Roman" w:hAnsi="Times New Roman" w:eastAsia="仿宋_GB2312"/>
          <w:sz w:val="32"/>
          <w:szCs w:val="32"/>
          <w:lang w:eastAsia="zh-CN"/>
        </w:rPr>
        <w:t>搭建“</w:t>
      </w:r>
      <w:r>
        <w:rPr>
          <w:rFonts w:hint="eastAsia" w:ascii="Times New Roman" w:hAnsi="Times New Roman" w:eastAsia="仿宋_GB2312"/>
          <w:sz w:val="32"/>
          <w:szCs w:val="32"/>
        </w:rPr>
        <w:t>疫情防控</w:t>
      </w:r>
      <w:r>
        <w:rPr>
          <w:rFonts w:hint="eastAsia" w:ascii="Times New Roman" w:hAnsi="Times New Roman" w:eastAsia="仿宋_GB2312"/>
          <w:sz w:val="32"/>
          <w:szCs w:val="32"/>
          <w:lang w:eastAsia="zh-CN"/>
        </w:rPr>
        <w:t>政策措施”专题，每日及时权威</w:t>
      </w:r>
      <w:r>
        <w:rPr>
          <w:rFonts w:hint="eastAsia" w:ascii="Times New Roman" w:hAnsi="Times New Roman" w:eastAsia="仿宋_GB2312"/>
          <w:sz w:val="32"/>
          <w:szCs w:val="32"/>
        </w:rPr>
        <w:t>发布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湖南省新型冠状病毒肺炎疫情</w:t>
      </w:r>
      <w:r>
        <w:rPr>
          <w:rFonts w:hint="eastAsia" w:ascii="Times New Roman" w:hAnsi="Times New Roman" w:eastAsia="仿宋_GB2312"/>
          <w:sz w:val="32"/>
          <w:szCs w:val="32"/>
          <w:lang w:eastAsia="zh-CN"/>
        </w:rPr>
        <w:t>通报”，更新发布专题评论解读</w:t>
      </w:r>
      <w:r>
        <w:rPr>
          <w:rFonts w:hint="eastAsia" w:ascii="Times New Roman" w:hAnsi="Times New Roman" w:eastAsia="仿宋_GB2312"/>
          <w:sz w:val="32"/>
          <w:szCs w:val="32"/>
          <w:lang w:val="en-US" w:eastAsia="zh-CN"/>
        </w:rPr>
        <w:t>49条、</w:t>
      </w:r>
      <w:r>
        <w:rPr>
          <w:rFonts w:hint="eastAsia" w:ascii="Times New Roman" w:hAnsi="Times New Roman" w:eastAsia="仿宋_GB2312"/>
          <w:sz w:val="32"/>
          <w:szCs w:val="32"/>
        </w:rPr>
        <w:t>辟谣信息</w:t>
      </w: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条、防护知识</w:t>
      </w:r>
      <w:r>
        <w:rPr>
          <w:rFonts w:hint="eastAsia" w:ascii="Times New Roman" w:hAnsi="Times New Roman" w:eastAsia="仿宋_GB2312"/>
          <w:sz w:val="32"/>
          <w:szCs w:val="32"/>
          <w:lang w:val="en-US" w:eastAsia="zh-CN"/>
        </w:rPr>
        <w:t>22</w:t>
      </w:r>
      <w:r>
        <w:rPr>
          <w:rFonts w:hint="eastAsia" w:ascii="Times New Roman" w:hAnsi="Times New Roman" w:eastAsia="仿宋_GB2312"/>
          <w:sz w:val="32"/>
          <w:szCs w:val="32"/>
        </w:rPr>
        <w:t>条</w:t>
      </w:r>
      <w:r>
        <w:rPr>
          <w:rFonts w:hint="eastAsia" w:ascii="Times New Roman" w:hAnsi="Times New Roman" w:eastAsia="仿宋_GB2312"/>
          <w:sz w:val="32"/>
          <w:szCs w:val="32"/>
          <w:lang w:eastAsia="zh-CN"/>
        </w:rPr>
        <w:t>，汇聚发布省级</w:t>
      </w:r>
      <w:r>
        <w:rPr>
          <w:rFonts w:hint="eastAsia" w:ascii="Times New Roman" w:hAnsi="Times New Roman" w:eastAsia="仿宋_GB2312"/>
          <w:sz w:val="32"/>
          <w:szCs w:val="32"/>
        </w:rPr>
        <w:t>疫情防控</w:t>
      </w:r>
      <w:r>
        <w:rPr>
          <w:rFonts w:hint="eastAsia" w:ascii="Times New Roman" w:hAnsi="Times New Roman" w:eastAsia="仿宋_GB2312"/>
          <w:sz w:val="32"/>
          <w:szCs w:val="32"/>
          <w:lang w:eastAsia="zh-CN"/>
        </w:rPr>
        <w:t>政策措施信息</w:t>
      </w:r>
      <w:r>
        <w:rPr>
          <w:rFonts w:hint="eastAsia" w:ascii="Times New Roman" w:hAnsi="Times New Roman" w:eastAsia="仿宋_GB2312"/>
          <w:sz w:val="32"/>
          <w:szCs w:val="32"/>
        </w:rPr>
        <w:t>4</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条、</w:t>
      </w:r>
      <w:r>
        <w:rPr>
          <w:rFonts w:hint="eastAsia" w:ascii="Times New Roman" w:hAnsi="Times New Roman" w:eastAsia="仿宋_GB2312"/>
          <w:sz w:val="32"/>
          <w:szCs w:val="32"/>
          <w:lang w:eastAsia="zh-CN"/>
        </w:rPr>
        <w:t>市级疫情防控政策措施信息</w:t>
      </w:r>
      <w:r>
        <w:rPr>
          <w:rFonts w:hint="eastAsia" w:ascii="Times New Roman" w:hAnsi="Times New Roman" w:eastAsia="仿宋_GB2312"/>
          <w:sz w:val="32"/>
          <w:szCs w:val="32"/>
          <w:lang w:val="en-US" w:eastAsia="zh-CN"/>
        </w:rPr>
        <w:t>287条</w:t>
      </w:r>
      <w:r>
        <w:rPr>
          <w:rFonts w:hint="eastAsia" w:ascii="Times New Roman" w:hAnsi="Times New Roman" w:eastAsia="仿宋_GB2312"/>
          <w:sz w:val="32"/>
          <w:szCs w:val="32"/>
          <w:lang w:eastAsia="zh-CN"/>
        </w:rPr>
        <w:t>，并公布省本级和各市州疫情防控热线，</w:t>
      </w:r>
      <w:r>
        <w:rPr>
          <w:rFonts w:hint="eastAsia" w:ascii="Times New Roman" w:hAnsi="Times New Roman" w:eastAsia="仿宋_GB2312"/>
          <w:sz w:val="32"/>
          <w:szCs w:val="32"/>
          <w:lang w:val="en-US" w:eastAsia="zh-CN"/>
        </w:rPr>
        <w:t>为社会公众及时获取疫情防控信息、配合实施精准防控提供有力支撑</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稳步扩大财政预决算公开范围，推进部门所属单位预算、决算及相关报表公开。在县级以上政府政务服务大厅开设政务公开窗口，提供信息查阅、政策咨询、办事指引、指导申请公开等服务，满足企业群众对公开的实际需求。</w:t>
      </w:r>
    </w:p>
    <w:p>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sz w:val="32"/>
          <w:szCs w:val="32"/>
        </w:rPr>
      </w:pPr>
      <w:r>
        <w:rPr>
          <w:rFonts w:hint="eastAsia" w:ascii="仿宋_GB2312" w:hAnsi="仿宋_GB2312" w:eastAsia="仿宋_GB2312" w:cs="仿宋_GB2312"/>
          <w:b/>
          <w:bCs/>
          <w:sz w:val="32"/>
          <w:szCs w:val="32"/>
        </w:rPr>
        <w:t>（二）依申请公开</w:t>
      </w:r>
      <w:r>
        <w:rPr>
          <w:rFonts w:hint="eastAsia" w:ascii="仿宋_GB2312" w:hAnsi="仿宋_GB2312" w:eastAsia="仿宋_GB2312" w:cs="仿宋_GB2312"/>
          <w:b/>
          <w:bCs/>
          <w:sz w:val="32"/>
          <w:szCs w:val="32"/>
          <w:lang w:eastAsia="zh-CN"/>
        </w:rPr>
        <w:t>情况</w:t>
      </w:r>
      <w:r>
        <w:rPr>
          <w:rFonts w:hint="eastAsia" w:ascii="Times New Roman" w:hAnsi="Times New Roman" w:eastAsia="仿宋_GB2312"/>
          <w:sz w:val="32"/>
          <w:szCs w:val="32"/>
          <w:lang w:val="en-US" w:eastAsia="zh-CN"/>
        </w:rPr>
        <w:t>。全省各级各部门认真贯彻执行政府信息公开条例，不断建立完善依申请公开办理答复制度，依法保障人民群众对政府信息的知情权。2021年全省共收到依申请公开件9663件，上年度结转办理件190件，共办理完成9676件，结转到2022年办理177件。其中，省政府办公厅（政务局）2021年收到政府信息公开申请279件，</w:t>
      </w:r>
      <w:r>
        <w:rPr>
          <w:rFonts w:hint="eastAsia" w:ascii="Times New Roman" w:hAnsi="Times New Roman" w:eastAsia="仿宋_GB2312"/>
          <w:sz w:val="32"/>
          <w:szCs w:val="32"/>
        </w:rPr>
        <w:t>结转上年度政府信息公开申请</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件，共办理完成</w:t>
      </w:r>
      <w:r>
        <w:rPr>
          <w:rFonts w:hint="eastAsia" w:ascii="Times New Roman" w:hAnsi="Times New Roman" w:eastAsia="仿宋_GB2312"/>
          <w:sz w:val="32"/>
          <w:szCs w:val="32"/>
          <w:lang w:val="en-US" w:eastAsia="zh-CN"/>
        </w:rPr>
        <w:t>278</w:t>
      </w:r>
      <w:r>
        <w:rPr>
          <w:rFonts w:hint="eastAsia" w:ascii="Times New Roman" w:hAnsi="Times New Roman" w:eastAsia="仿宋_GB2312"/>
          <w:sz w:val="32"/>
          <w:szCs w:val="32"/>
        </w:rPr>
        <w:t>件，结转下年度继续办理</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件；发生行政复议</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件，其中</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件维持，</w:t>
      </w:r>
      <w:r>
        <w:rPr>
          <w:rFonts w:ascii="Times New Roman" w:hAnsi="Times New Roman" w:eastAsia="仿宋_GB2312"/>
          <w:sz w:val="32"/>
          <w:szCs w:val="32"/>
        </w:rPr>
        <w:t>1</w:t>
      </w:r>
      <w:r>
        <w:rPr>
          <w:rFonts w:hint="eastAsia" w:ascii="Times New Roman" w:hAnsi="Times New Roman" w:eastAsia="仿宋_GB2312"/>
          <w:sz w:val="32"/>
          <w:szCs w:val="32"/>
        </w:rPr>
        <w:t>件尚未审结；发生行政诉讼</w:t>
      </w:r>
      <w:r>
        <w:rPr>
          <w:rFonts w:ascii="Times New Roman" w:hAnsi="Times New Roman" w:eastAsia="仿宋_GB2312"/>
          <w:sz w:val="32"/>
          <w:szCs w:val="32"/>
        </w:rPr>
        <w:t>4</w:t>
      </w:r>
      <w:r>
        <w:rPr>
          <w:rFonts w:hint="eastAsia" w:ascii="Times New Roman" w:hAnsi="Times New Roman" w:eastAsia="仿宋_GB2312"/>
          <w:sz w:val="32"/>
          <w:szCs w:val="32"/>
        </w:rPr>
        <w:t>件，其中</w:t>
      </w:r>
      <w:r>
        <w:rPr>
          <w:rFonts w:ascii="Times New Roman" w:hAnsi="Times New Roman" w:eastAsia="仿宋_GB2312"/>
          <w:sz w:val="32"/>
          <w:szCs w:val="32"/>
        </w:rPr>
        <w:t>3</w:t>
      </w:r>
      <w:r>
        <w:rPr>
          <w:rFonts w:hint="eastAsia" w:ascii="Times New Roman" w:hAnsi="Times New Roman" w:eastAsia="仿宋_GB2312"/>
          <w:sz w:val="32"/>
          <w:szCs w:val="32"/>
        </w:rPr>
        <w:t>件维持，</w:t>
      </w:r>
      <w:r>
        <w:rPr>
          <w:rFonts w:ascii="Times New Roman" w:hAnsi="Times New Roman" w:eastAsia="仿宋_GB2312"/>
          <w:sz w:val="32"/>
          <w:szCs w:val="32"/>
        </w:rPr>
        <w:t>1</w:t>
      </w:r>
      <w:r>
        <w:rPr>
          <w:rFonts w:hint="eastAsia" w:ascii="Times New Roman" w:hAnsi="Times New Roman" w:eastAsia="仿宋_GB2312"/>
          <w:sz w:val="32"/>
          <w:szCs w:val="32"/>
        </w:rPr>
        <w:t>件尚未审结。</w:t>
      </w:r>
    </w:p>
    <w:p>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kern w:val="0"/>
          <w:sz w:val="32"/>
          <w:szCs w:val="32"/>
          <w:lang w:val="en-US" w:eastAsia="zh-CN"/>
        </w:rPr>
      </w:pPr>
      <w:r>
        <w:rPr>
          <w:rFonts w:hint="eastAsia" w:ascii="仿宋_GB2312" w:hAnsi="仿宋_GB2312" w:eastAsia="仿宋_GB2312" w:cs="仿宋_GB2312"/>
          <w:b/>
          <w:bCs/>
          <w:sz w:val="32"/>
          <w:szCs w:val="32"/>
        </w:rPr>
        <w:t>（三）政府信息管理</w:t>
      </w:r>
      <w:r>
        <w:rPr>
          <w:rFonts w:hint="eastAsia" w:ascii="仿宋_GB2312" w:hAnsi="仿宋_GB2312" w:eastAsia="仿宋_GB2312" w:cs="仿宋_GB2312"/>
          <w:b/>
          <w:bCs/>
          <w:sz w:val="32"/>
          <w:szCs w:val="32"/>
          <w:lang w:eastAsia="zh-CN"/>
        </w:rPr>
        <w:t>情况</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县级以上人民政府依托政府门户网站</w:t>
      </w:r>
      <w:r>
        <w:rPr>
          <w:rFonts w:hint="eastAsia" w:ascii="Times New Roman" w:hAnsi="Times New Roman" w:eastAsia="仿宋_GB2312"/>
          <w:sz w:val="32"/>
          <w:szCs w:val="32"/>
          <w:lang w:val="en-US" w:eastAsia="zh-CN"/>
        </w:rPr>
        <w:t>建设完善“文件库”，对政策文件进行集约化管理；</w:t>
      </w:r>
      <w:r>
        <w:rPr>
          <w:rFonts w:hint="eastAsia" w:ascii="Times New Roman" w:hAnsi="Times New Roman" w:eastAsia="仿宋_GB2312"/>
          <w:sz w:val="32"/>
          <w:szCs w:val="32"/>
          <w:lang w:eastAsia="zh-CN"/>
        </w:rPr>
        <w:t>各级政府部门依托部门网站</w:t>
      </w:r>
      <w:r>
        <w:rPr>
          <w:rFonts w:hint="eastAsia" w:ascii="Times New Roman" w:hAnsi="Times New Roman" w:eastAsia="仿宋_GB2312"/>
          <w:sz w:val="32"/>
          <w:szCs w:val="32"/>
          <w:lang w:val="en-US" w:eastAsia="zh-CN"/>
        </w:rPr>
        <w:t>集中统一公开本单位制定出台的政策文件。2021年全省共制发规范性文件3106件，废止规范性文件836件，现行有效规范性文件12934件。</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年省政府门户网站政府信息公开专栏发布省政府规章</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件、省政府文件1</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件、省政府办公厅文件</w:t>
      </w:r>
      <w:r>
        <w:rPr>
          <w:rFonts w:hint="eastAsia" w:ascii="Times New Roman" w:hAnsi="Times New Roman" w:eastAsia="仿宋_GB2312"/>
          <w:sz w:val="32"/>
          <w:szCs w:val="32"/>
          <w:lang w:val="en-US" w:eastAsia="zh-CN"/>
        </w:rPr>
        <w:t>68</w:t>
      </w:r>
      <w:r>
        <w:rPr>
          <w:rFonts w:hint="eastAsia" w:ascii="Times New Roman" w:hAnsi="Times New Roman" w:eastAsia="仿宋_GB2312"/>
          <w:sz w:val="32"/>
          <w:szCs w:val="32"/>
        </w:rPr>
        <w:t>件。</w:t>
      </w:r>
      <w:r>
        <w:rPr>
          <w:rFonts w:hint="eastAsia" w:ascii="Times New Roman" w:hAnsi="Times New Roman" w:eastAsia="仿宋_GB2312"/>
          <w:sz w:val="32"/>
          <w:szCs w:val="32"/>
          <w:lang w:eastAsia="zh-CN"/>
        </w:rPr>
        <w:t>省政府办公厅</w:t>
      </w:r>
      <w:r>
        <w:rPr>
          <w:rFonts w:hint="eastAsia" w:eastAsia="仿宋_GB2312" w:cs="Times New Roman"/>
          <w:sz w:val="32"/>
          <w:szCs w:val="32"/>
          <w:lang w:val="en" w:eastAsia="zh-CN"/>
        </w:rPr>
        <w:t>印发《</w:t>
      </w:r>
      <w:r>
        <w:rPr>
          <w:rFonts w:hint="default" w:eastAsia="仿宋_GB2312" w:cs="Times New Roman"/>
          <w:sz w:val="32"/>
          <w:szCs w:val="32"/>
          <w:lang w:val="en" w:eastAsia="zh-CN"/>
        </w:rPr>
        <w:t>关于建立全省集中统一政府规章库的通知</w:t>
      </w:r>
      <w:r>
        <w:rPr>
          <w:rFonts w:hint="eastAsia" w:eastAsia="仿宋_GB2312" w:cs="Times New Roman"/>
          <w:sz w:val="32"/>
          <w:szCs w:val="32"/>
          <w:lang w:val="en" w:eastAsia="zh-CN"/>
        </w:rPr>
        <w:t>》</w:t>
      </w:r>
      <w:r>
        <w:rPr>
          <w:rFonts w:hint="eastAsia" w:ascii="Times New Roman" w:hAnsi="Times New Roman" w:eastAsia="仿宋_GB2312" w:cs="Times New Roman"/>
          <w:sz w:val="32"/>
          <w:szCs w:val="32"/>
          <w:lang w:val="en" w:eastAsia="zh-CN"/>
        </w:rPr>
        <w:t>（湘政办函〔</w:t>
      </w:r>
      <w:r>
        <w:rPr>
          <w:rFonts w:hint="eastAsia" w:ascii="Times New Roman" w:hAnsi="Times New Roman" w:eastAsia="仿宋_GB2312" w:cs="Times New Roman"/>
          <w:sz w:val="32"/>
          <w:szCs w:val="32"/>
          <w:lang w:val="en-US" w:eastAsia="zh-CN"/>
        </w:rPr>
        <w:t>2021</w:t>
      </w:r>
      <w:r>
        <w:rPr>
          <w:rFonts w:hint="eastAsia" w:ascii="Times New Roman" w:hAnsi="Times New Roman" w:eastAsia="仿宋_GB2312" w:cs="Times New Roman"/>
          <w:sz w:val="32"/>
          <w:szCs w:val="32"/>
          <w:lang w:val="en" w:eastAsia="zh-CN"/>
        </w:rPr>
        <w:t>〕</w:t>
      </w:r>
      <w:r>
        <w:rPr>
          <w:rFonts w:hint="eastAsia" w:ascii="Times New Roman" w:hAnsi="Times New Roman" w:eastAsia="仿宋_GB2312" w:cs="Times New Roman"/>
          <w:sz w:val="32"/>
          <w:szCs w:val="32"/>
          <w:lang w:val="en-US" w:eastAsia="zh-CN"/>
        </w:rPr>
        <w:t>72号</w:t>
      </w:r>
      <w:r>
        <w:rPr>
          <w:rFonts w:hint="eastAsia" w:ascii="Times New Roman" w:hAnsi="Times New Roman" w:eastAsia="仿宋_GB2312" w:cs="Times New Roman"/>
          <w:sz w:val="32"/>
          <w:szCs w:val="32"/>
          <w:lang w:val="en" w:eastAsia="zh-CN"/>
        </w:rPr>
        <w:t>）</w:t>
      </w:r>
      <w:r>
        <w:rPr>
          <w:rFonts w:hint="default" w:eastAsia="仿宋_GB2312" w:cs="Times New Roman"/>
          <w:sz w:val="32"/>
          <w:szCs w:val="32"/>
          <w:lang w:val="en" w:eastAsia="zh-CN"/>
        </w:rPr>
        <w:t>，</w:t>
      </w:r>
      <w:r>
        <w:rPr>
          <w:rFonts w:hint="eastAsia" w:ascii="Times New Roman" w:hAnsi="Times New Roman" w:eastAsia="仿宋_GB2312" w:cs="Times New Roman"/>
          <w:kern w:val="0"/>
          <w:sz w:val="32"/>
          <w:szCs w:val="32"/>
          <w:lang w:val="en-US" w:eastAsia="zh-CN"/>
        </w:rPr>
        <w:t>在全国率先建成</w:t>
      </w:r>
      <w:r>
        <w:rPr>
          <w:rFonts w:hint="eastAsia" w:eastAsia="仿宋_GB2312" w:cs="Times New Roman"/>
          <w:kern w:val="0"/>
          <w:sz w:val="32"/>
          <w:szCs w:val="32"/>
          <w:lang w:val="en-US" w:eastAsia="zh-CN"/>
        </w:rPr>
        <w:t>上线</w:t>
      </w:r>
      <w:r>
        <w:rPr>
          <w:rFonts w:hint="eastAsia" w:ascii="Times New Roman" w:hAnsi="Times New Roman" w:eastAsia="仿宋_GB2312" w:cs="Times New Roman"/>
          <w:kern w:val="0"/>
          <w:sz w:val="32"/>
          <w:szCs w:val="32"/>
          <w:lang w:val="en-US" w:eastAsia="zh-CN"/>
        </w:rPr>
        <w:t>“湖南省政府规章库”</w:t>
      </w:r>
      <w:r>
        <w:rPr>
          <w:rFonts w:hint="eastAsia" w:eastAsia="仿宋_GB2312" w:cs="Times New Roman"/>
          <w:sz w:val="32"/>
          <w:szCs w:val="32"/>
          <w:lang w:val="en-US" w:eastAsia="zh-CN"/>
        </w:rPr>
        <w:t>，</w:t>
      </w:r>
      <w:r>
        <w:rPr>
          <w:rFonts w:hint="eastAsia" w:ascii="Times New Roman" w:hAnsi="Times New Roman" w:eastAsia="仿宋_GB2312" w:cs="Times New Roman"/>
          <w:kern w:val="0"/>
          <w:sz w:val="32"/>
          <w:szCs w:val="32"/>
          <w:lang w:val="en-US" w:eastAsia="zh-CN"/>
        </w:rPr>
        <w:t>打造全国政府规章公开工作样板</w:t>
      </w:r>
      <w:r>
        <w:rPr>
          <w:rFonts w:hint="eastAsia" w:eastAsia="仿宋_GB2312" w:cs="Times New Roman"/>
          <w:kern w:val="0"/>
          <w:sz w:val="32"/>
          <w:szCs w:val="32"/>
          <w:lang w:val="en-US" w:eastAsia="zh-CN"/>
        </w:rPr>
        <w:t>，得到国务院办公厅政务公开办肯定</w:t>
      </w:r>
      <w:r>
        <w:rPr>
          <w:rFonts w:hint="eastAsia" w:ascii="Times New Roman" w:hAnsi="Times New Roman" w:eastAsia="仿宋_GB2312" w:cs="Times New Roman"/>
          <w:kern w:val="0"/>
          <w:sz w:val="32"/>
          <w:szCs w:val="32"/>
          <w:lang w:val="en-US" w:eastAsia="zh-CN"/>
        </w:rPr>
        <w:t>。2021年，“湖南省政府规章库”共集中发布省政府规章131部、市级政府规章64部。</w:t>
      </w:r>
    </w:p>
    <w:p>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kern w:val="0"/>
          <w:sz w:val="32"/>
          <w:szCs w:val="32"/>
          <w:lang w:val="en-US" w:eastAsia="zh-CN" w:bidi="ar-SA"/>
        </w:rPr>
      </w:pPr>
      <w:r>
        <w:rPr>
          <w:rFonts w:hint="eastAsia" w:ascii="仿宋_GB2312" w:hAnsi="仿宋_GB2312" w:eastAsia="仿宋_GB2312" w:cs="仿宋_GB2312"/>
          <w:b/>
          <w:bCs/>
          <w:sz w:val="32"/>
          <w:szCs w:val="32"/>
        </w:rPr>
        <w:t>（四）政府信息公开平台</w:t>
      </w:r>
      <w:r>
        <w:rPr>
          <w:rFonts w:hint="eastAsia" w:ascii="仿宋_GB2312" w:hAnsi="仿宋_GB2312" w:eastAsia="仿宋_GB2312" w:cs="仿宋_GB2312"/>
          <w:b/>
          <w:bCs/>
          <w:sz w:val="32"/>
          <w:szCs w:val="32"/>
          <w:lang w:eastAsia="zh-CN"/>
        </w:rPr>
        <w:t>建设情况</w:t>
      </w:r>
      <w:r>
        <w:rPr>
          <w:rFonts w:hint="eastAsia" w:ascii="Times New Roman" w:hAnsi="Times New Roman" w:eastAsia="仿宋_GB2312" w:cs="Times New Roman"/>
          <w:kern w:val="0"/>
          <w:sz w:val="32"/>
          <w:szCs w:val="32"/>
          <w:lang w:val="en-US" w:eastAsia="zh-CN" w:bidi="ar-SA"/>
        </w:rPr>
        <w:t>。发挥政府网站和政务新媒体第一公开平台作用，致力于打造更加及时、更加权威的政府信息公开阵地。按照</w:t>
      </w:r>
      <w:r>
        <w:rPr>
          <w:rFonts w:hint="eastAsia" w:eastAsia="仿宋_GB2312" w:cs="Times New Roman"/>
          <w:kern w:val="0"/>
          <w:sz w:val="32"/>
          <w:szCs w:val="32"/>
          <w:lang w:val="en-US" w:eastAsia="zh-CN"/>
        </w:rPr>
        <w:t>国务院办公厅政务公开办</w:t>
      </w:r>
      <w:r>
        <w:rPr>
          <w:rFonts w:hint="eastAsia" w:ascii="Times New Roman" w:hAnsi="Times New Roman" w:eastAsia="仿宋_GB2312" w:cs="Times New Roman"/>
          <w:kern w:val="0"/>
          <w:sz w:val="32"/>
          <w:szCs w:val="32"/>
          <w:lang w:val="en-US" w:eastAsia="zh-CN" w:bidi="ar-SA"/>
        </w:rPr>
        <w:t>要求，优化全省各级各部门政府信息公开专栏。</w:t>
      </w:r>
      <w:r>
        <w:rPr>
          <w:rFonts w:hint="eastAsia" w:ascii="Times New Roman" w:hAnsi="Times New Roman" w:eastAsia="仿宋_GB2312" w:cs="Times New Roman"/>
          <w:kern w:val="0"/>
          <w:sz w:val="32"/>
          <w:szCs w:val="32"/>
        </w:rPr>
        <w:t>贯彻落实关于加大党中央、国务院重大决策部署政务信息传播要求</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bidi="ar-SA"/>
        </w:rPr>
        <w:t>建立以省政府门户网站、微信公众号为龙头，全省617家政府网站、2424家政务新媒体共同参与的重要信息联动传播矩阵，实现重要政务信息全省响应、协同联动、整体发声。2021年共联动传播党中央、国务院重要信息272条次。发挥以公开促服务的积极作用，对照全省发布的296件“事”配套发布“一事一标准”，通过强化搜索功能、优化办理流程、改造导办页面、公开办事指南等，为企业群众提供优质的办事服务；开设“政企通”专栏，汇聚涉企政策5</w:t>
      </w:r>
      <w:r>
        <w:rPr>
          <w:rFonts w:hint="default" w:ascii="Times New Roman" w:hAnsi="Times New Roman" w:eastAsia="仿宋_GB2312" w:cs="Times New Roman"/>
          <w:kern w:val="0"/>
          <w:sz w:val="32"/>
          <w:szCs w:val="32"/>
          <w:lang w:val="en" w:eastAsia="zh-CN" w:bidi="ar-SA"/>
        </w:rPr>
        <w:t>187</w:t>
      </w:r>
      <w:r>
        <w:rPr>
          <w:rFonts w:hint="eastAsia" w:ascii="Times New Roman" w:hAnsi="Times New Roman" w:eastAsia="仿宋_GB2312" w:cs="Times New Roman"/>
          <w:kern w:val="0"/>
          <w:sz w:val="32"/>
          <w:szCs w:val="32"/>
          <w:lang w:val="en-US" w:eastAsia="zh-CN" w:bidi="ar-SA"/>
        </w:rPr>
        <w:t>条、政策解读5</w:t>
      </w:r>
      <w:r>
        <w:rPr>
          <w:rFonts w:hint="default" w:ascii="Times New Roman" w:hAnsi="Times New Roman" w:eastAsia="仿宋_GB2312" w:cs="Times New Roman"/>
          <w:kern w:val="0"/>
          <w:sz w:val="32"/>
          <w:szCs w:val="32"/>
          <w:lang w:val="en" w:eastAsia="zh-CN" w:bidi="ar-SA"/>
        </w:rPr>
        <w:t>83</w:t>
      </w:r>
      <w:r>
        <w:rPr>
          <w:rFonts w:hint="eastAsia" w:ascii="Times New Roman" w:hAnsi="Times New Roman" w:eastAsia="仿宋_GB2312" w:cs="Times New Roman"/>
          <w:kern w:val="0"/>
          <w:sz w:val="32"/>
          <w:szCs w:val="32"/>
          <w:lang w:val="en-US" w:eastAsia="zh-CN" w:bidi="ar-SA"/>
        </w:rPr>
        <w:t>条，通过政策信息搜索匹配和算法推荐功能，让企业和群众既能精准查找、又能真正读懂涉企政策。</w:t>
      </w:r>
    </w:p>
    <w:p>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olor w:val="000000"/>
          <w:sz w:val="32"/>
          <w:szCs w:val="32"/>
          <w:lang w:val="en" w:eastAsia="zh-CN"/>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）监督保障</w:t>
      </w:r>
      <w:r>
        <w:rPr>
          <w:rFonts w:hint="eastAsia" w:ascii="仿宋_GB2312" w:hAnsi="仿宋_GB2312" w:eastAsia="仿宋_GB2312" w:cs="仿宋_GB2312"/>
          <w:b/>
          <w:bCs/>
          <w:sz w:val="32"/>
          <w:szCs w:val="32"/>
          <w:lang w:eastAsia="zh-CN"/>
        </w:rPr>
        <w:t>情况</w:t>
      </w:r>
      <w:r>
        <w:rPr>
          <w:rFonts w:hint="eastAsia" w:ascii="Times New Roman" w:hAnsi="Times New Roman" w:eastAsia="仿宋_GB2312" w:cs="Times New Roman"/>
          <w:kern w:val="0"/>
          <w:sz w:val="32"/>
          <w:szCs w:val="32"/>
          <w:lang w:val="en-US" w:eastAsia="zh-CN" w:bidi="ar-SA"/>
        </w:rPr>
        <w:t>。全省各级政府信息公开主管部门加强指导监督，各级各部门政府信息公开工作机构切实履行政府信息公开法定职责，不断提升政府工作透明度，加快推进法治政府和服务型政府建设。</w:t>
      </w:r>
      <w:r>
        <w:rPr>
          <w:rFonts w:hint="eastAsia" w:ascii="Times New Roman" w:hAnsi="Times New Roman" w:eastAsia="仿宋_GB2312" w:cs="Times New Roman"/>
          <w:kern w:val="0"/>
          <w:sz w:val="32"/>
          <w:szCs w:val="32"/>
          <w:lang w:val="en" w:eastAsia="zh-CN" w:bidi="ar-SA"/>
        </w:rPr>
        <w:t>将政务公开纳入政务管理服务工作统筹考评，作为真抓</w:t>
      </w:r>
      <w:r>
        <w:rPr>
          <w:rFonts w:hint="eastAsia" w:ascii="Times New Roman" w:hAnsi="Times New Roman" w:eastAsia="仿宋_GB2312"/>
          <w:color w:val="000000"/>
          <w:sz w:val="32"/>
          <w:szCs w:val="32"/>
          <w:lang w:val="en" w:eastAsia="zh-CN"/>
        </w:rPr>
        <w:t>实干督查激励表彰的重要评价指标，并纳入政府绩效考核体系。加强专项工作监督检查，对</w:t>
      </w:r>
      <w:r>
        <w:rPr>
          <w:rFonts w:hint="eastAsia" w:ascii="Times New Roman" w:hAnsi="Times New Roman" w:eastAsia="仿宋_GB2312"/>
          <w:color w:val="000000"/>
          <w:sz w:val="32"/>
          <w:szCs w:val="32"/>
          <w:lang w:val="en-US" w:eastAsia="zh-CN"/>
        </w:rPr>
        <w:t>40个省直单位、14个市州及部分县市区</w:t>
      </w:r>
      <w:r>
        <w:rPr>
          <w:rFonts w:hint="eastAsia" w:ascii="Times New Roman" w:hAnsi="Times New Roman" w:eastAsia="仿宋_GB2312"/>
          <w:color w:val="000000"/>
          <w:sz w:val="32"/>
          <w:szCs w:val="32"/>
          <w:lang w:val="en" w:eastAsia="zh-CN"/>
        </w:rPr>
        <w:t>编发</w:t>
      </w:r>
      <w:r>
        <w:rPr>
          <w:rFonts w:hint="eastAsia" w:ascii="Times New Roman" w:hAnsi="Times New Roman" w:eastAsia="仿宋_GB2312"/>
          <w:color w:val="000000"/>
          <w:sz w:val="32"/>
          <w:szCs w:val="32"/>
          <w:lang w:val="en-US" w:eastAsia="zh-CN"/>
        </w:rPr>
        <w:t>2020年政府信息公开工作报告</w:t>
      </w:r>
      <w:r>
        <w:rPr>
          <w:rFonts w:hint="eastAsia" w:ascii="Times New Roman" w:hAnsi="Times New Roman" w:eastAsia="仿宋_GB2312"/>
          <w:color w:val="000000"/>
          <w:sz w:val="32"/>
          <w:szCs w:val="32"/>
          <w:lang w:val="en" w:eastAsia="zh-CN"/>
        </w:rPr>
        <w:t>情况进行在线检查，并印发《</w:t>
      </w:r>
      <w:r>
        <w:rPr>
          <w:rFonts w:hint="eastAsia" w:ascii="Times New Roman" w:hAnsi="Times New Roman" w:eastAsia="仿宋_GB2312"/>
          <w:color w:val="000000"/>
          <w:sz w:val="32"/>
          <w:szCs w:val="32"/>
          <w:lang w:val="en-US" w:eastAsia="zh-CN"/>
        </w:rPr>
        <w:t>2020年度政府信息公开工作报告编制发布情况通报</w:t>
      </w:r>
      <w:r>
        <w:rPr>
          <w:rFonts w:hint="eastAsia" w:ascii="Times New Roman" w:hAnsi="Times New Roman" w:eastAsia="仿宋_GB2312"/>
          <w:color w:val="000000"/>
          <w:sz w:val="32"/>
          <w:szCs w:val="32"/>
          <w:lang w:val="en" w:eastAsia="zh-CN"/>
        </w:rPr>
        <w:t>》（湘政务函</w:t>
      </w:r>
      <w:r>
        <w:rPr>
          <w:rFonts w:hint="eastAsia" w:ascii="Times New Roman" w:hAnsi="Times New Roman" w:eastAsia="仿宋_GB2312" w:cs="Times New Roman"/>
          <w:sz w:val="32"/>
          <w:szCs w:val="32"/>
          <w:lang w:val="en" w:eastAsia="zh-CN"/>
        </w:rPr>
        <w:t>〔</w:t>
      </w:r>
      <w:r>
        <w:rPr>
          <w:rFonts w:hint="eastAsia" w:ascii="Times New Roman" w:hAnsi="Times New Roman" w:eastAsia="仿宋_GB2312" w:cs="Times New Roman"/>
          <w:sz w:val="32"/>
          <w:szCs w:val="32"/>
          <w:lang w:val="en-US" w:eastAsia="zh-CN"/>
        </w:rPr>
        <w:t>2021</w:t>
      </w:r>
      <w:r>
        <w:rPr>
          <w:rFonts w:hint="eastAsia" w:ascii="Times New Roman" w:hAnsi="Times New Roman" w:eastAsia="仿宋_GB2312" w:cs="Times New Roman"/>
          <w:sz w:val="32"/>
          <w:szCs w:val="32"/>
          <w:lang w:val="en" w:eastAsia="zh-CN"/>
        </w:rPr>
        <w:t>〕</w:t>
      </w:r>
      <w:r>
        <w:rPr>
          <w:rFonts w:hint="eastAsia" w:ascii="Times New Roman" w:hAnsi="Times New Roman" w:eastAsia="仿宋_GB2312" w:cs="Times New Roman"/>
          <w:sz w:val="32"/>
          <w:szCs w:val="32"/>
          <w:lang w:val="en-US" w:eastAsia="zh-CN"/>
        </w:rPr>
        <w:t>16号</w:t>
      </w:r>
      <w:r>
        <w:rPr>
          <w:rFonts w:hint="eastAsia" w:ascii="Times New Roman" w:hAnsi="Times New Roman" w:eastAsia="仿宋_GB2312"/>
          <w:color w:val="000000"/>
          <w:sz w:val="32"/>
          <w:szCs w:val="32"/>
          <w:lang w:val="en" w:eastAsia="zh-CN"/>
        </w:rPr>
        <w:t>），指出年报编发工作中存在的问题，要求限期整改。</w:t>
      </w:r>
    </w:p>
    <w:p>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firstLineChars="200"/>
        <w:textAlignment w:val="auto"/>
        <w:rPr>
          <w:rFonts w:hint="eastAsia" w:ascii="宋体" w:hAnsi="宋体" w:cs="宋体"/>
          <w:color w:val="333333"/>
          <w:kern w:val="0"/>
          <w:sz w:val="24"/>
          <w:szCs w:val="24"/>
        </w:rPr>
      </w:pPr>
      <w:r>
        <w:rPr>
          <w:rFonts w:hint="eastAsia" w:ascii="黑体" w:hAnsi="黑体" w:eastAsia="黑体" w:cs="黑体"/>
          <w:b w:val="0"/>
          <w:bCs w:val="0"/>
          <w:color w:val="333333"/>
          <w:kern w:val="0"/>
          <w:sz w:val="32"/>
          <w:szCs w:val="32"/>
        </w:rPr>
        <w:t>二、主动公开政府信息情况</w:t>
      </w:r>
    </w:p>
    <w:tbl>
      <w:tblPr>
        <w:tblStyle w:val="9"/>
        <w:tblW w:w="8556" w:type="dxa"/>
        <w:tblInd w:w="0" w:type="dxa"/>
        <w:tblLayout w:type="fixed"/>
        <w:tblCellMar>
          <w:top w:w="0" w:type="dxa"/>
          <w:left w:w="0" w:type="dxa"/>
          <w:bottom w:w="0" w:type="dxa"/>
          <w:right w:w="0" w:type="dxa"/>
        </w:tblCellMar>
      </w:tblPr>
      <w:tblGrid>
        <w:gridCol w:w="2139"/>
        <w:gridCol w:w="2139"/>
        <w:gridCol w:w="2139"/>
        <w:gridCol w:w="2139"/>
      </w:tblGrid>
      <w:tr>
        <w:tblPrEx>
          <w:tblLayout w:type="fixed"/>
          <w:tblCellMar>
            <w:top w:w="0" w:type="dxa"/>
            <w:left w:w="0" w:type="dxa"/>
            <w:bottom w:w="0" w:type="dxa"/>
            <w:right w:w="0" w:type="dxa"/>
          </w:tblCellMar>
        </w:tblPrEx>
        <w:trPr>
          <w:trHeight w:val="314" w:hRule="atLeast"/>
        </w:trPr>
        <w:tc>
          <w:tcPr>
            <w:tcW w:w="8556" w:type="dxa"/>
            <w:gridSpan w:val="4"/>
            <w:tcBorders>
              <w:top w:val="single" w:color="auto" w:sz="8" w:space="0"/>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widowControl/>
              <w:jc w:val="center"/>
              <w:rPr>
                <w:rFonts w:hint="eastAsia" w:ascii="宋体" w:hAnsi="宋体" w:cs="宋体"/>
                <w:kern w:val="0"/>
                <w:sz w:val="24"/>
                <w:szCs w:val="24"/>
              </w:rPr>
            </w:pPr>
            <w:r>
              <w:rPr>
                <w:rFonts w:hint="eastAsia" w:ascii="宋体" w:hAnsi="宋体" w:cs="宋体"/>
                <w:color w:val="000000"/>
                <w:kern w:val="0"/>
                <w:sz w:val="20"/>
                <w:szCs w:val="20"/>
              </w:rPr>
              <w:t>第二十条第（一）项</w:t>
            </w:r>
          </w:p>
        </w:tc>
      </w:tr>
      <w:tr>
        <w:tblPrEx>
          <w:tblLayout w:type="fixed"/>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信息内容</w:t>
            </w:r>
          </w:p>
        </w:tc>
        <w:tc>
          <w:tcPr>
            <w:tcW w:w="2139"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本年</w:t>
            </w:r>
            <w:r>
              <w:rPr>
                <w:rFonts w:ascii="宋体" w:hAnsi="宋体" w:cs="宋体"/>
                <w:kern w:val="0"/>
                <w:sz w:val="20"/>
                <w:szCs w:val="20"/>
              </w:rPr>
              <w:t>制</w:t>
            </w:r>
            <w:r>
              <w:rPr>
                <w:rFonts w:hint="eastAsia" w:ascii="宋体" w:hAnsi="宋体" w:cs="宋体"/>
                <w:kern w:val="0"/>
                <w:sz w:val="20"/>
                <w:szCs w:val="20"/>
              </w:rPr>
              <w:t>发件</w:t>
            </w:r>
            <w:r>
              <w:rPr>
                <w:rFonts w:ascii="宋体" w:hAnsi="宋体" w:cs="宋体"/>
                <w:kern w:val="0"/>
                <w:sz w:val="20"/>
                <w:szCs w:val="20"/>
              </w:rPr>
              <w:t>数</w:t>
            </w:r>
          </w:p>
        </w:tc>
        <w:tc>
          <w:tcPr>
            <w:tcW w:w="2139"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本年废止件数</w:t>
            </w:r>
          </w:p>
        </w:tc>
        <w:tc>
          <w:tcPr>
            <w:tcW w:w="2139"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现行有效件</w:t>
            </w:r>
            <w:r>
              <w:rPr>
                <w:rFonts w:ascii="宋体" w:hAnsi="宋体" w:cs="宋体"/>
                <w:kern w:val="0"/>
                <w:sz w:val="20"/>
                <w:szCs w:val="20"/>
              </w:rPr>
              <w:t>数</w:t>
            </w:r>
          </w:p>
        </w:tc>
      </w:tr>
      <w:tr>
        <w:tblPrEx>
          <w:tblLayout w:type="fixed"/>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color w:val="000000"/>
                <w:kern w:val="0"/>
                <w:sz w:val="20"/>
                <w:szCs w:val="20"/>
              </w:rPr>
              <w:t>规章</w:t>
            </w:r>
          </w:p>
        </w:tc>
        <w:tc>
          <w:tcPr>
            <w:tcW w:w="213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eastAsia="宋体" w:cs="宋体"/>
                <w:kern w:val="0"/>
                <w:sz w:val="20"/>
                <w:szCs w:val="20"/>
                <w:lang w:val="en-US" w:eastAsia="zh-CN"/>
              </w:rPr>
            </w:pPr>
            <w:r>
              <w:rPr>
                <w:rFonts w:hint="eastAsia" w:cs="宋体"/>
                <w:kern w:val="0"/>
                <w:sz w:val="20"/>
                <w:szCs w:val="20"/>
                <w:lang w:val="en-US" w:eastAsia="zh-CN"/>
              </w:rPr>
              <w:t>9</w:t>
            </w:r>
          </w:p>
        </w:tc>
        <w:tc>
          <w:tcPr>
            <w:tcW w:w="213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eastAsia="宋体" w:cs="宋体"/>
                <w:kern w:val="0"/>
                <w:sz w:val="20"/>
                <w:szCs w:val="20"/>
                <w:lang w:val="en-US" w:eastAsia="zh-CN"/>
              </w:rPr>
            </w:pPr>
            <w:r>
              <w:rPr>
                <w:rFonts w:hint="eastAsia" w:cs="宋体"/>
                <w:kern w:val="0"/>
                <w:sz w:val="20"/>
                <w:szCs w:val="20"/>
                <w:lang w:val="en-US" w:eastAsia="zh-CN"/>
              </w:rPr>
              <w:t>7</w:t>
            </w:r>
          </w:p>
        </w:tc>
        <w:tc>
          <w:tcPr>
            <w:tcW w:w="213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default" w:eastAsia="宋体" w:cs="宋体"/>
                <w:kern w:val="0"/>
                <w:sz w:val="20"/>
                <w:szCs w:val="20"/>
                <w:lang w:val="en-US" w:eastAsia="zh-CN"/>
              </w:rPr>
            </w:pPr>
            <w:r>
              <w:rPr>
                <w:rFonts w:hint="eastAsia" w:eastAsia="宋体" w:cs="宋体"/>
                <w:kern w:val="0"/>
                <w:sz w:val="20"/>
                <w:szCs w:val="20"/>
                <w:lang w:val="en-US" w:eastAsia="zh-CN"/>
              </w:rPr>
              <w:t>1</w:t>
            </w:r>
            <w:r>
              <w:rPr>
                <w:rFonts w:hint="eastAsia" w:cs="宋体"/>
                <w:kern w:val="0"/>
                <w:sz w:val="20"/>
                <w:szCs w:val="20"/>
                <w:lang w:val="en-US" w:eastAsia="zh-CN"/>
              </w:rPr>
              <w:t>88</w:t>
            </w:r>
          </w:p>
        </w:tc>
      </w:tr>
      <w:tr>
        <w:tblPrEx>
          <w:tblLayout w:type="fixed"/>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color w:val="000000"/>
                <w:kern w:val="0"/>
                <w:sz w:val="20"/>
                <w:szCs w:val="20"/>
              </w:rPr>
              <w:t>行政规范性文件</w:t>
            </w:r>
          </w:p>
        </w:tc>
        <w:tc>
          <w:tcPr>
            <w:tcW w:w="213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default" w:eastAsia="宋体" w:cs="宋体"/>
                <w:kern w:val="0"/>
                <w:sz w:val="20"/>
                <w:szCs w:val="20"/>
                <w:lang w:val="en-US" w:eastAsia="zh-CN"/>
              </w:rPr>
            </w:pPr>
            <w:r>
              <w:rPr>
                <w:rFonts w:hint="eastAsia" w:cs="宋体"/>
                <w:kern w:val="0"/>
                <w:sz w:val="20"/>
                <w:szCs w:val="20"/>
                <w:lang w:val="en-US" w:eastAsia="zh-CN"/>
              </w:rPr>
              <w:t>3106</w:t>
            </w:r>
          </w:p>
        </w:tc>
        <w:tc>
          <w:tcPr>
            <w:tcW w:w="213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default" w:eastAsia="宋体" w:cs="宋体"/>
                <w:kern w:val="0"/>
                <w:sz w:val="20"/>
                <w:szCs w:val="20"/>
                <w:lang w:val="en-US" w:eastAsia="zh-CN"/>
              </w:rPr>
            </w:pPr>
            <w:r>
              <w:rPr>
                <w:rFonts w:hint="eastAsia" w:cs="宋体"/>
                <w:kern w:val="0"/>
                <w:sz w:val="20"/>
                <w:szCs w:val="20"/>
                <w:lang w:val="en-US" w:eastAsia="zh-CN"/>
              </w:rPr>
              <w:t>836</w:t>
            </w:r>
          </w:p>
        </w:tc>
        <w:tc>
          <w:tcPr>
            <w:tcW w:w="213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default" w:eastAsia="宋体" w:cs="宋体"/>
                <w:kern w:val="0"/>
                <w:sz w:val="20"/>
                <w:szCs w:val="20"/>
                <w:lang w:val="en-US" w:eastAsia="zh-CN"/>
              </w:rPr>
            </w:pPr>
            <w:r>
              <w:rPr>
                <w:rFonts w:hint="eastAsia" w:cs="宋体"/>
                <w:kern w:val="0"/>
                <w:sz w:val="20"/>
                <w:szCs w:val="20"/>
                <w:lang w:val="en-US" w:eastAsia="zh-CN"/>
              </w:rPr>
              <w:t>12934</w:t>
            </w:r>
          </w:p>
        </w:tc>
      </w:tr>
      <w:tr>
        <w:tblPrEx>
          <w:tblLayout w:type="fixed"/>
          <w:tblCellMar>
            <w:top w:w="0" w:type="dxa"/>
            <w:left w:w="0" w:type="dxa"/>
            <w:bottom w:w="0" w:type="dxa"/>
            <w:right w:w="0" w:type="dxa"/>
          </w:tblCellMar>
        </w:tblPrEx>
        <w:trPr>
          <w:trHeight w:val="314" w:hRule="atLeast"/>
        </w:trPr>
        <w:tc>
          <w:tcPr>
            <w:tcW w:w="8556" w:type="dxa"/>
            <w:gridSpan w:val="4"/>
            <w:tcBorders>
              <w:top w:val="nil"/>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第二十条第（五）项</w:t>
            </w:r>
          </w:p>
        </w:tc>
      </w:tr>
      <w:tr>
        <w:tblPrEx>
          <w:tblLayout w:type="fixed"/>
          <w:tblCellMar>
            <w:top w:w="0" w:type="dxa"/>
            <w:left w:w="0" w:type="dxa"/>
            <w:bottom w:w="0" w:type="dxa"/>
            <w:right w:w="0" w:type="dxa"/>
          </w:tblCellMar>
        </w:tblPrEx>
        <w:trPr>
          <w:trHeight w:val="347" w:hRule="atLeast"/>
        </w:trPr>
        <w:tc>
          <w:tcPr>
            <w:tcW w:w="2139" w:type="dxa"/>
            <w:tcBorders>
              <w:top w:val="single" w:color="auto" w:sz="8" w:space="0"/>
              <w:left w:val="single" w:color="auto" w:sz="8"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信息内容</w:t>
            </w:r>
          </w:p>
        </w:tc>
        <w:tc>
          <w:tcPr>
            <w:tcW w:w="6417" w:type="dxa"/>
            <w:gridSpan w:val="3"/>
            <w:tcBorders>
              <w:top w:val="single" w:color="auto" w:sz="8"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本年处理决定数量</w:t>
            </w:r>
          </w:p>
        </w:tc>
      </w:tr>
      <w:tr>
        <w:tblPrEx>
          <w:tblLayout w:type="fixed"/>
          <w:tblCellMar>
            <w:top w:w="0" w:type="dxa"/>
            <w:left w:w="0" w:type="dxa"/>
            <w:bottom w:w="0" w:type="dxa"/>
            <w:right w:w="0" w:type="dxa"/>
          </w:tblCellMar>
        </w:tblPrEx>
        <w:trPr>
          <w:trHeight w:val="314" w:hRule="atLeast"/>
        </w:trPr>
        <w:tc>
          <w:tcPr>
            <w:tcW w:w="2139" w:type="dxa"/>
            <w:tcBorders>
              <w:top w:val="single" w:color="auto" w:sz="4" w:space="0"/>
              <w:left w:val="single" w:color="auto" w:sz="8" w:space="0"/>
              <w:bottom w:val="single" w:color="auto" w:sz="8" w:space="0"/>
              <w:right w:val="single" w:color="auto" w:sz="4"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color w:val="000000"/>
                <w:kern w:val="0"/>
                <w:sz w:val="20"/>
                <w:szCs w:val="20"/>
              </w:rPr>
              <w:t>行政许可</w:t>
            </w:r>
          </w:p>
        </w:tc>
        <w:tc>
          <w:tcPr>
            <w:tcW w:w="6417" w:type="dxa"/>
            <w:gridSpan w:val="3"/>
            <w:tcBorders>
              <w:top w:val="single" w:color="auto" w:sz="4" w:space="0"/>
              <w:left w:val="single" w:color="auto" w:sz="4"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default" w:ascii="宋体" w:hAnsi="宋体" w:eastAsia="宋体" w:cs="宋体"/>
                <w:kern w:val="0"/>
                <w:sz w:val="24"/>
                <w:szCs w:val="24"/>
                <w:lang w:val="en-US" w:eastAsia="zh-CN"/>
              </w:rPr>
            </w:pPr>
            <w:r>
              <w:rPr>
                <w:rFonts w:hint="eastAsia" w:cs="宋体"/>
                <w:kern w:val="0"/>
                <w:sz w:val="20"/>
                <w:szCs w:val="20"/>
                <w:lang w:val="en-US" w:eastAsia="zh-CN"/>
              </w:rPr>
              <w:t>4612565</w:t>
            </w:r>
          </w:p>
        </w:tc>
      </w:tr>
      <w:tr>
        <w:tblPrEx>
          <w:tblLayout w:type="fixed"/>
          <w:tblCellMar>
            <w:top w:w="0" w:type="dxa"/>
            <w:left w:w="0" w:type="dxa"/>
            <w:bottom w:w="0" w:type="dxa"/>
            <w:right w:w="0" w:type="dxa"/>
          </w:tblCellMar>
        </w:tblPrEx>
        <w:trPr>
          <w:trHeight w:val="314" w:hRule="atLeast"/>
        </w:trPr>
        <w:tc>
          <w:tcPr>
            <w:tcW w:w="8556" w:type="dxa"/>
            <w:gridSpan w:val="4"/>
            <w:tcBorders>
              <w:top w:val="single" w:color="auto" w:sz="8" w:space="0"/>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第二十条第（六）项</w:t>
            </w:r>
          </w:p>
        </w:tc>
      </w:tr>
      <w:tr>
        <w:tblPrEx>
          <w:tblLayout w:type="fixed"/>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信息内容</w:t>
            </w:r>
          </w:p>
        </w:tc>
        <w:tc>
          <w:tcPr>
            <w:tcW w:w="6417" w:type="dxa"/>
            <w:gridSpan w:val="3"/>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本年处理决定数量</w:t>
            </w:r>
          </w:p>
        </w:tc>
      </w:tr>
      <w:tr>
        <w:tblPrEx>
          <w:tblLayout w:type="fixed"/>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color w:val="000000"/>
                <w:kern w:val="0"/>
                <w:sz w:val="20"/>
                <w:szCs w:val="20"/>
              </w:rPr>
              <w:t>行政处罚</w:t>
            </w:r>
          </w:p>
        </w:tc>
        <w:tc>
          <w:tcPr>
            <w:tcW w:w="6417" w:type="dxa"/>
            <w:gridSpan w:val="3"/>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default" w:eastAsia="宋体" w:cs="宋体"/>
                <w:kern w:val="0"/>
                <w:sz w:val="20"/>
                <w:szCs w:val="20"/>
                <w:lang w:val="en-US" w:eastAsia="zh-CN"/>
              </w:rPr>
            </w:pPr>
            <w:r>
              <w:rPr>
                <w:rFonts w:hint="eastAsia" w:cs="宋体"/>
                <w:kern w:val="0"/>
                <w:sz w:val="20"/>
                <w:szCs w:val="20"/>
                <w:lang w:val="en-US" w:eastAsia="zh-CN"/>
              </w:rPr>
              <w:t>9598189</w:t>
            </w:r>
          </w:p>
        </w:tc>
      </w:tr>
      <w:tr>
        <w:tblPrEx>
          <w:tblLayout w:type="fixed"/>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color w:val="000000"/>
                <w:kern w:val="0"/>
                <w:sz w:val="20"/>
                <w:szCs w:val="20"/>
              </w:rPr>
              <w:t>行政强制</w:t>
            </w:r>
          </w:p>
        </w:tc>
        <w:tc>
          <w:tcPr>
            <w:tcW w:w="6417" w:type="dxa"/>
            <w:gridSpan w:val="3"/>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default" w:eastAsia="宋体" w:cs="宋体"/>
                <w:kern w:val="0"/>
                <w:sz w:val="20"/>
                <w:szCs w:val="20"/>
                <w:lang w:val="en-US" w:eastAsia="zh-CN"/>
              </w:rPr>
            </w:pPr>
            <w:r>
              <w:rPr>
                <w:rFonts w:hint="eastAsia" w:cs="宋体"/>
                <w:kern w:val="0"/>
                <w:sz w:val="20"/>
                <w:szCs w:val="20"/>
                <w:lang w:val="en-US" w:eastAsia="zh-CN"/>
              </w:rPr>
              <w:t>398110</w:t>
            </w:r>
          </w:p>
        </w:tc>
      </w:tr>
      <w:tr>
        <w:tblPrEx>
          <w:tblLayout w:type="fixed"/>
          <w:tblCellMar>
            <w:top w:w="0" w:type="dxa"/>
            <w:left w:w="0" w:type="dxa"/>
            <w:bottom w:w="0" w:type="dxa"/>
            <w:right w:w="0" w:type="dxa"/>
          </w:tblCellMar>
        </w:tblPrEx>
        <w:trPr>
          <w:trHeight w:val="314" w:hRule="atLeast"/>
        </w:trPr>
        <w:tc>
          <w:tcPr>
            <w:tcW w:w="8556" w:type="dxa"/>
            <w:gridSpan w:val="4"/>
            <w:tcBorders>
              <w:top w:val="nil"/>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第二十条第（八）项</w:t>
            </w:r>
          </w:p>
        </w:tc>
      </w:tr>
      <w:tr>
        <w:tblPrEx>
          <w:tblLayout w:type="fixed"/>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信息内容</w:t>
            </w:r>
          </w:p>
        </w:tc>
        <w:tc>
          <w:tcPr>
            <w:tcW w:w="6417" w:type="dxa"/>
            <w:gridSpan w:val="3"/>
            <w:tcBorders>
              <w:top w:val="nil"/>
              <w:left w:val="nil"/>
              <w:bottom w:val="single" w:color="auto" w:sz="8" w:space="0"/>
              <w:right w:val="single" w:color="000000" w:sz="8"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本年收费金额（单位：万元）</w:t>
            </w:r>
          </w:p>
        </w:tc>
      </w:tr>
      <w:tr>
        <w:tblPrEx>
          <w:tblLayout w:type="fixed"/>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color w:val="000000"/>
                <w:kern w:val="0"/>
                <w:sz w:val="20"/>
                <w:szCs w:val="20"/>
              </w:rPr>
              <w:t>行政事业性收费</w:t>
            </w:r>
          </w:p>
        </w:tc>
        <w:tc>
          <w:tcPr>
            <w:tcW w:w="6417" w:type="dxa"/>
            <w:gridSpan w:val="3"/>
            <w:tcBorders>
              <w:top w:val="nil"/>
              <w:left w:val="nil"/>
              <w:bottom w:val="single" w:color="auto" w:sz="8" w:space="0"/>
              <w:right w:val="single" w:color="000000" w:sz="8" w:space="0"/>
            </w:tcBorders>
            <w:noWrap w:val="0"/>
            <w:tcMar>
              <w:top w:w="0" w:type="dxa"/>
              <w:left w:w="57" w:type="dxa"/>
              <w:bottom w:w="0" w:type="dxa"/>
              <w:right w:w="57" w:type="dxa"/>
            </w:tcMar>
            <w:vAlign w:val="center"/>
          </w:tcPr>
          <w:p>
            <w:pPr>
              <w:widowControl/>
              <w:jc w:val="center"/>
              <w:rPr>
                <w:rFonts w:hint="default" w:ascii="宋体" w:hAnsi="宋体" w:eastAsia="宋体" w:cs="宋体"/>
                <w:kern w:val="0"/>
                <w:sz w:val="20"/>
                <w:szCs w:val="20"/>
                <w:lang w:val="en-US" w:eastAsia="zh-CN"/>
              </w:rPr>
            </w:pPr>
            <w:r>
              <w:rPr>
                <w:rFonts w:hint="eastAsia" w:cs="宋体"/>
                <w:kern w:val="0"/>
                <w:sz w:val="20"/>
                <w:szCs w:val="20"/>
                <w:lang w:val="en-US" w:eastAsia="zh-CN"/>
              </w:rPr>
              <w:t>2430270</w:t>
            </w:r>
          </w:p>
        </w:tc>
      </w:tr>
    </w:tbl>
    <w:p>
      <w:pPr>
        <w:widowControl/>
        <w:shd w:val="clear" w:color="auto" w:fill="FFFFFF"/>
        <w:ind w:firstLine="640" w:firstLineChars="200"/>
        <w:rPr>
          <w:rFonts w:hint="eastAsia" w:ascii="宋体" w:hAnsi="宋体" w:cs="宋体"/>
          <w:color w:val="333333"/>
          <w:kern w:val="0"/>
          <w:sz w:val="24"/>
          <w:szCs w:val="24"/>
        </w:rPr>
      </w:pPr>
      <w:r>
        <w:rPr>
          <w:rFonts w:hint="eastAsia" w:ascii="黑体" w:hAnsi="黑体" w:eastAsia="黑体" w:cs="黑体"/>
          <w:b w:val="0"/>
          <w:bCs w:val="0"/>
          <w:color w:val="333333"/>
          <w:kern w:val="0"/>
          <w:sz w:val="32"/>
          <w:szCs w:val="32"/>
        </w:rPr>
        <w:t>三、收到和处理政府信息公开申请情况</w:t>
      </w:r>
    </w:p>
    <w:tbl>
      <w:tblPr>
        <w:tblStyle w:val="9"/>
        <w:tblW w:w="8727" w:type="dxa"/>
        <w:jc w:val="center"/>
        <w:tblInd w:w="0" w:type="dxa"/>
        <w:tblLayout w:type="fixed"/>
        <w:tblCellMar>
          <w:top w:w="0" w:type="dxa"/>
          <w:left w:w="0" w:type="dxa"/>
          <w:bottom w:w="0" w:type="dxa"/>
          <w:right w:w="0" w:type="dxa"/>
        </w:tblCellMar>
      </w:tblPr>
      <w:tblGrid>
        <w:gridCol w:w="685"/>
        <w:gridCol w:w="844"/>
        <w:gridCol w:w="2881"/>
        <w:gridCol w:w="618"/>
        <w:gridCol w:w="616"/>
        <w:gridCol w:w="616"/>
        <w:gridCol w:w="616"/>
        <w:gridCol w:w="616"/>
        <w:gridCol w:w="616"/>
        <w:gridCol w:w="619"/>
      </w:tblGrid>
      <w:tr>
        <w:tblPrEx>
          <w:tblLayout w:type="fixed"/>
          <w:tblCellMar>
            <w:top w:w="0" w:type="dxa"/>
            <w:left w:w="0" w:type="dxa"/>
            <w:bottom w:w="0" w:type="dxa"/>
            <w:right w:w="0" w:type="dxa"/>
          </w:tblCellMar>
        </w:tblPrEx>
        <w:trPr>
          <w:trHeight w:val="259" w:hRule="atLeast"/>
          <w:jc w:val="center"/>
        </w:trPr>
        <w:tc>
          <w:tcPr>
            <w:tcW w:w="4410" w:type="dxa"/>
            <w:gridSpan w:val="3"/>
            <w:vMerge w:val="restart"/>
            <w:tcBorders>
              <w:top w:val="single" w:color="auto" w:sz="8" w:space="0"/>
              <w:left w:val="single" w:color="auto" w:sz="8" w:space="0"/>
              <w:bottom w:val="single" w:color="auto" w:sz="4" w:space="0"/>
              <w:right w:val="single" w:color="auto" w:sz="4" w:space="0"/>
            </w:tcBorders>
            <w:noWrap w:val="0"/>
            <w:tcMar>
              <w:top w:w="0" w:type="dxa"/>
              <w:left w:w="108" w:type="dxa"/>
              <w:bottom w:w="0" w:type="dxa"/>
              <w:right w:w="108" w:type="dxa"/>
            </w:tcMar>
            <w:vAlign w:val="center"/>
          </w:tcPr>
          <w:p>
            <w:pPr>
              <w:widowControl/>
              <w:jc w:val="left"/>
              <w:rPr>
                <w:rFonts w:hint="eastAsia" w:ascii="宋体" w:hAnsi="宋体"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317" w:type="dxa"/>
            <w:gridSpan w:val="7"/>
            <w:tcBorders>
              <w:top w:val="single" w:color="auto" w:sz="8"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申请人情况</w:t>
            </w:r>
          </w:p>
        </w:tc>
      </w:tr>
      <w:tr>
        <w:tblPrEx>
          <w:tblLayout w:type="fixed"/>
          <w:tblCellMar>
            <w:top w:w="0" w:type="dxa"/>
            <w:left w:w="0" w:type="dxa"/>
            <w:bottom w:w="0" w:type="dxa"/>
            <w:right w:w="0" w:type="dxa"/>
          </w:tblCellMar>
        </w:tblPrEx>
        <w:trPr>
          <w:trHeight w:val="259" w:hRule="atLeast"/>
          <w:jc w:val="center"/>
        </w:trPr>
        <w:tc>
          <w:tcPr>
            <w:tcW w:w="4410" w:type="dxa"/>
            <w:gridSpan w:val="3"/>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618" w:type="dxa"/>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自然人</w:t>
            </w:r>
          </w:p>
        </w:tc>
        <w:tc>
          <w:tcPr>
            <w:tcW w:w="3080" w:type="dxa"/>
            <w:gridSpan w:val="5"/>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法人或其他组织</w:t>
            </w:r>
          </w:p>
        </w:tc>
        <w:tc>
          <w:tcPr>
            <w:tcW w:w="619" w:type="dxa"/>
            <w:vMerge w:val="restart"/>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r>
      <w:tr>
        <w:tblPrEx>
          <w:tblLayout w:type="fixed"/>
          <w:tblCellMar>
            <w:top w:w="0" w:type="dxa"/>
            <w:left w:w="0" w:type="dxa"/>
            <w:bottom w:w="0" w:type="dxa"/>
            <w:right w:w="0" w:type="dxa"/>
          </w:tblCellMar>
        </w:tblPrEx>
        <w:trPr>
          <w:trHeight w:val="259" w:hRule="atLeast"/>
          <w:jc w:val="center"/>
        </w:trPr>
        <w:tc>
          <w:tcPr>
            <w:tcW w:w="4410" w:type="dxa"/>
            <w:gridSpan w:val="3"/>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61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商业</w:t>
            </w:r>
          </w:p>
          <w:p>
            <w:pPr>
              <w:widowControl/>
              <w:jc w:val="center"/>
              <w:rPr>
                <w:rFonts w:ascii="宋体" w:hAnsi="宋体" w:cs="宋体"/>
                <w:kern w:val="0"/>
                <w:sz w:val="24"/>
                <w:szCs w:val="24"/>
              </w:rPr>
            </w:pPr>
            <w:r>
              <w:rPr>
                <w:rFonts w:hint="eastAsia" w:ascii="宋体" w:hAnsi="宋体" w:cs="宋体"/>
                <w:kern w:val="0"/>
                <w:sz w:val="20"/>
                <w:szCs w:val="20"/>
              </w:rPr>
              <w:t>企业</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科研</w:t>
            </w:r>
          </w:p>
          <w:p>
            <w:pPr>
              <w:widowControl/>
              <w:jc w:val="center"/>
              <w:rPr>
                <w:rFonts w:ascii="宋体" w:hAnsi="宋体" w:cs="宋体"/>
                <w:kern w:val="0"/>
                <w:sz w:val="24"/>
                <w:szCs w:val="24"/>
              </w:rPr>
            </w:pPr>
            <w:r>
              <w:rPr>
                <w:rFonts w:hint="eastAsia" w:ascii="宋体" w:hAnsi="宋体" w:cs="宋体"/>
                <w:kern w:val="0"/>
                <w:sz w:val="20"/>
                <w:szCs w:val="20"/>
              </w:rPr>
              <w:t>机构</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社会公益组织</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法律服务机构</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p>
        </w:tc>
        <w:tc>
          <w:tcPr>
            <w:tcW w:w="619" w:type="dxa"/>
            <w:vMerge w:val="continue"/>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宋体" w:hAnsi="宋体" w:cs="宋体"/>
                <w:kern w:val="0"/>
                <w:sz w:val="24"/>
                <w:szCs w:val="24"/>
              </w:rPr>
            </w:pPr>
          </w:p>
        </w:tc>
      </w:tr>
      <w:tr>
        <w:tblPrEx>
          <w:tblLayout w:type="fixed"/>
          <w:tblCellMar>
            <w:top w:w="0" w:type="dxa"/>
            <w:left w:w="0" w:type="dxa"/>
            <w:bottom w:w="0" w:type="dxa"/>
            <w:right w:w="0" w:type="dxa"/>
          </w:tblCellMar>
        </w:tblPrEx>
        <w:trPr>
          <w:trHeight w:val="259" w:hRule="atLeast"/>
          <w:jc w:val="center"/>
        </w:trPr>
        <w:tc>
          <w:tcPr>
            <w:tcW w:w="4410" w:type="dxa"/>
            <w:gridSpan w:val="3"/>
            <w:tcBorders>
              <w:top w:val="single" w:color="auto" w:sz="4" w:space="0"/>
              <w:left w:val="single" w:color="auto" w:sz="8" w:space="0"/>
              <w:bottom w:val="single" w:color="auto" w:sz="4" w:space="0"/>
              <w:right w:val="single" w:color="auto" w:sz="4"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一、本年新收政府信息公开申请数量</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8615</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682</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30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26</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217</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93</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9663</w:t>
            </w:r>
          </w:p>
        </w:tc>
      </w:tr>
      <w:tr>
        <w:tblPrEx>
          <w:tblLayout w:type="fixed"/>
          <w:tblCellMar>
            <w:top w:w="0" w:type="dxa"/>
            <w:left w:w="0" w:type="dxa"/>
            <w:bottom w:w="0" w:type="dxa"/>
            <w:right w:w="0" w:type="dxa"/>
          </w:tblCellMar>
        </w:tblPrEx>
        <w:trPr>
          <w:trHeight w:val="259" w:hRule="atLeast"/>
          <w:jc w:val="center"/>
        </w:trPr>
        <w:tc>
          <w:tcPr>
            <w:tcW w:w="4410" w:type="dxa"/>
            <w:gridSpan w:val="3"/>
            <w:tcBorders>
              <w:top w:val="single" w:color="auto" w:sz="4" w:space="0"/>
              <w:left w:val="single" w:color="auto" w:sz="8" w:space="0"/>
              <w:bottom w:val="single" w:color="auto" w:sz="4" w:space="0"/>
              <w:right w:val="single" w:color="auto" w:sz="4"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二、上年结转政府信息公开申请数量</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181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8</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190</w:t>
            </w:r>
          </w:p>
        </w:tc>
      </w:tr>
      <w:tr>
        <w:tblPrEx>
          <w:tblLayout w:type="fixed"/>
          <w:tblCellMar>
            <w:top w:w="0" w:type="dxa"/>
            <w:left w:w="0" w:type="dxa"/>
            <w:bottom w:w="0" w:type="dxa"/>
            <w:right w:w="0" w:type="dxa"/>
          </w:tblCellMar>
        </w:tblPrEx>
        <w:trPr>
          <w:trHeight w:val="259" w:hRule="atLeast"/>
          <w:jc w:val="center"/>
        </w:trPr>
        <w:tc>
          <w:tcPr>
            <w:tcW w:w="685" w:type="dxa"/>
            <w:vMerge w:val="restart"/>
            <w:tcBorders>
              <w:top w:val="single" w:color="auto" w:sz="4" w:space="0"/>
              <w:left w:val="single" w:color="auto" w:sz="8" w:space="0"/>
              <w:bottom w:val="single" w:color="auto" w:sz="4" w:space="0"/>
              <w:right w:val="single" w:color="auto" w:sz="4"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三、本年度办理结果</w:t>
            </w:r>
          </w:p>
        </w:tc>
        <w:tc>
          <w:tcPr>
            <w:tcW w:w="3725" w:type="dxa"/>
            <w:gridSpan w:val="2"/>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（一）予以公开</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5348</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593</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18</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23</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170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88</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6240</w:t>
            </w:r>
          </w:p>
        </w:tc>
      </w:tr>
      <w:tr>
        <w:tblPrEx>
          <w:tblLayout w:type="fixed"/>
          <w:tblCellMar>
            <w:top w:w="0" w:type="dxa"/>
            <w:left w:w="0" w:type="dxa"/>
            <w:bottom w:w="0" w:type="dxa"/>
            <w:right w:w="0" w:type="dxa"/>
          </w:tblCellMar>
        </w:tblPrEx>
        <w:trPr>
          <w:trHeight w:val="53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3725" w:type="dxa"/>
            <w:gridSpan w:val="2"/>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609</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612</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（三）不予公开</w:t>
            </w: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1.属于国家秘密</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15</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16</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2.其他法律行政法规禁止公开</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22</w:t>
            </w:r>
          </w:p>
        </w:tc>
      </w:tr>
      <w:tr>
        <w:tblPrEx>
          <w:tblLayout w:type="fixed"/>
          <w:tblCellMar>
            <w:top w:w="0" w:type="dxa"/>
            <w:left w:w="0" w:type="dxa"/>
            <w:bottom w:w="0" w:type="dxa"/>
            <w:right w:w="0" w:type="dxa"/>
          </w:tblCellMar>
        </w:tblPrEx>
        <w:trPr>
          <w:trHeight w:val="284"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3.危及“三安全一稳定”</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12</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12</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4.保护第三方合法权益</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105</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3</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108</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5.属于三类内部事务信息</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67</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67</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6.属于四类过程性信息</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45</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3</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50</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7.属于行政执法案卷</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22</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23</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56</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8.属于行政查询事项</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28</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31</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（四）无法提供</w:t>
            </w: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1.本机关不掌握相关政府信息</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1545</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23</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7</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4</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1580</w:t>
            </w:r>
          </w:p>
        </w:tc>
      </w:tr>
      <w:tr>
        <w:tblPrEx>
          <w:tblLayout w:type="fixed"/>
          <w:tblCellMar>
            <w:top w:w="0" w:type="dxa"/>
            <w:left w:w="0" w:type="dxa"/>
            <w:bottom w:w="0" w:type="dxa"/>
            <w:right w:w="0" w:type="dxa"/>
          </w:tblCellMar>
        </w:tblPrEx>
        <w:trPr>
          <w:trHeight w:val="284"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2.没有现成信息需要另行制作</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48</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3</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3</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54</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3.补正后申请内容仍不明确</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12</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12</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（五）不予处理</w:t>
            </w: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1.信访举报投诉类申请</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115</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116</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2.重复申请</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248</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250</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ascii="宋体" w:hAnsi="宋体" w:cs="宋体"/>
                <w:kern w:val="0"/>
                <w:sz w:val="24"/>
                <w:szCs w:val="24"/>
              </w:rPr>
            </w:pPr>
            <w:r>
              <w:rPr>
                <w:rFonts w:hint="eastAsia" w:ascii="宋体" w:hAnsi="宋体" w:cs="宋体"/>
                <w:kern w:val="0"/>
                <w:sz w:val="20"/>
                <w:szCs w:val="20"/>
              </w:rPr>
              <w:t>3.要求提供公开出版物</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9</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9</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eastAsia="宋体" w:cs="宋体"/>
                <w:kern w:val="0"/>
                <w:sz w:val="20"/>
                <w:szCs w:val="20"/>
                <w:lang w:val="en-US" w:eastAsia="zh-CN"/>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eastAsia="宋体" w:cs="宋体"/>
                <w:kern w:val="0"/>
                <w:sz w:val="20"/>
                <w:szCs w:val="20"/>
                <w:lang w:val="en-US" w:eastAsia="zh-CN"/>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widowControl/>
              <w:jc w:val="left"/>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4.无正当理由大量反复申请</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15</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15</w:t>
            </w:r>
          </w:p>
        </w:tc>
      </w:tr>
      <w:tr>
        <w:tblPrEx>
          <w:tblLayout w:type="fixed"/>
          <w:tblCellMar>
            <w:top w:w="0" w:type="dxa"/>
            <w:left w:w="0" w:type="dxa"/>
            <w:bottom w:w="0" w:type="dxa"/>
            <w:right w:w="0" w:type="dxa"/>
          </w:tblCellMar>
        </w:tblPrEx>
        <w:trPr>
          <w:trHeight w:val="64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cs="宋体"/>
                <w:kern w:val="0"/>
                <w:sz w:val="20"/>
                <w:szCs w:val="20"/>
              </w:rPr>
              <w:t>5.要求行政机关确认或重新出具已获取信息</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23</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23</w:t>
            </w:r>
          </w:p>
        </w:tc>
      </w:tr>
      <w:tr>
        <w:tblPrEx>
          <w:tblLayout w:type="fixed"/>
          <w:tblCellMar>
            <w:top w:w="0" w:type="dxa"/>
            <w:left w:w="0" w:type="dxa"/>
            <w:bottom w:w="0" w:type="dxa"/>
            <w:right w:w="0" w:type="dxa"/>
          </w:tblCellMar>
        </w:tblPrEx>
        <w:trPr>
          <w:trHeight w:val="790"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（六）其他处理</w:t>
            </w: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cs="宋体"/>
                <w:kern w:val="0"/>
                <w:sz w:val="20"/>
                <w:szCs w:val="20"/>
              </w:rPr>
              <w:t>1.申请人无正当理由逾期不补正、行政机关不再处理其政府信息公开申请</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36</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36</w:t>
            </w:r>
          </w:p>
        </w:tc>
      </w:tr>
      <w:tr>
        <w:tblPrEx>
          <w:tblLayout w:type="fixed"/>
          <w:tblCellMar>
            <w:top w:w="0" w:type="dxa"/>
            <w:left w:w="0" w:type="dxa"/>
            <w:bottom w:w="0" w:type="dxa"/>
            <w:right w:w="0" w:type="dxa"/>
          </w:tblCellMar>
        </w:tblPrEx>
        <w:trPr>
          <w:trHeight w:val="790"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cs="宋体"/>
                <w:kern w:val="0"/>
                <w:sz w:val="20"/>
                <w:szCs w:val="20"/>
              </w:rPr>
              <w:t>2.申请人逾期未按收费通知要求缴纳费用、行政机关不再处理其政府信息公开申请</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288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3.其他</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311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13</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42</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367</w:t>
            </w:r>
          </w:p>
        </w:tc>
      </w:tr>
      <w:tr>
        <w:tblPrEx>
          <w:tblLayout w:type="fixed"/>
          <w:tblCellMar>
            <w:top w:w="0" w:type="dxa"/>
            <w:left w:w="0" w:type="dxa"/>
            <w:bottom w:w="0" w:type="dxa"/>
            <w:right w:w="0" w:type="dxa"/>
          </w:tblCellMar>
        </w:tblPrEx>
        <w:trPr>
          <w:trHeight w:val="271" w:hRule="atLeast"/>
          <w:jc w:val="center"/>
        </w:trPr>
        <w:tc>
          <w:tcPr>
            <w:tcW w:w="685"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3725" w:type="dxa"/>
            <w:gridSpan w:val="2"/>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（七）总计</w:t>
            </w:r>
          </w:p>
        </w:tc>
        <w:tc>
          <w:tcPr>
            <w:tcW w:w="6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8634</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667</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30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26</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225</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94</w:t>
            </w:r>
          </w:p>
        </w:tc>
        <w:tc>
          <w:tcPr>
            <w:tcW w:w="619"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9676</w:t>
            </w:r>
          </w:p>
        </w:tc>
      </w:tr>
      <w:tr>
        <w:tblPrEx>
          <w:tblLayout w:type="fixed"/>
          <w:tblCellMar>
            <w:top w:w="0" w:type="dxa"/>
            <w:left w:w="0" w:type="dxa"/>
            <w:bottom w:w="0" w:type="dxa"/>
            <w:right w:w="0" w:type="dxa"/>
          </w:tblCellMar>
        </w:tblPrEx>
        <w:trPr>
          <w:trHeight w:val="271" w:hRule="atLeast"/>
          <w:jc w:val="center"/>
        </w:trPr>
        <w:tc>
          <w:tcPr>
            <w:tcW w:w="4410" w:type="dxa"/>
            <w:gridSpan w:val="3"/>
            <w:tcBorders>
              <w:top w:val="single" w:color="auto" w:sz="4" w:space="0"/>
              <w:left w:val="single" w:color="auto" w:sz="8" w:space="0"/>
              <w:bottom w:val="single" w:color="auto" w:sz="8" w:space="0"/>
              <w:right w:val="single" w:color="auto" w:sz="4" w:space="0"/>
            </w:tcBorders>
            <w:noWrap w:val="0"/>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四、结转下年度继续办理</w:t>
            </w:r>
          </w:p>
        </w:tc>
        <w:tc>
          <w:tcPr>
            <w:tcW w:w="618" w:type="dxa"/>
            <w:tcBorders>
              <w:top w:val="single" w:color="auto" w:sz="4" w:space="0"/>
              <w:left w:val="single" w:color="auto" w:sz="4" w:space="0"/>
              <w:bottom w:val="single" w:color="auto" w:sz="8"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162</w:t>
            </w:r>
          </w:p>
        </w:tc>
        <w:tc>
          <w:tcPr>
            <w:tcW w:w="616" w:type="dxa"/>
            <w:tcBorders>
              <w:top w:val="single" w:color="auto" w:sz="4" w:space="0"/>
              <w:left w:val="single" w:color="auto" w:sz="4" w:space="0"/>
              <w:bottom w:val="single" w:color="auto" w:sz="8" w:space="0"/>
              <w:right w:val="single" w:color="auto" w:sz="4"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15</w:t>
            </w:r>
          </w:p>
        </w:tc>
        <w:tc>
          <w:tcPr>
            <w:tcW w:w="616" w:type="dxa"/>
            <w:tcBorders>
              <w:top w:val="single" w:color="auto" w:sz="4" w:space="0"/>
              <w:left w:val="single" w:color="auto" w:sz="4" w:space="0"/>
              <w:bottom w:val="single" w:color="auto" w:sz="8"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8"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8"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6" w:type="dxa"/>
            <w:tcBorders>
              <w:top w:val="single" w:color="auto" w:sz="4" w:space="0"/>
              <w:left w:val="single" w:color="auto" w:sz="4" w:space="0"/>
              <w:bottom w:val="single" w:color="auto" w:sz="8" w:space="0"/>
              <w:right w:val="single" w:color="auto" w:sz="4" w:space="0"/>
            </w:tcBorders>
            <w:noWrap w:val="0"/>
            <w:tcMar>
              <w:top w:w="0" w:type="dxa"/>
              <w:left w:w="57" w:type="dxa"/>
              <w:bottom w:w="0" w:type="dxa"/>
              <w:right w:w="57" w:type="dxa"/>
            </w:tcMar>
            <w:vAlign w:val="center"/>
          </w:tcPr>
          <w:p>
            <w:pPr>
              <w:widowControl/>
              <w:jc w:val="center"/>
              <w:rPr>
                <w:rFonts w:hint="eastAsia" w:cs="宋体"/>
                <w:kern w:val="0"/>
                <w:sz w:val="16"/>
                <w:szCs w:val="16"/>
                <w:lang w:val="en-US" w:eastAsia="zh-CN"/>
              </w:rPr>
            </w:pPr>
            <w:r>
              <w:rPr>
                <w:rFonts w:hint="eastAsia" w:cs="宋体"/>
                <w:kern w:val="0"/>
                <w:sz w:val="16"/>
                <w:szCs w:val="16"/>
                <w:lang w:val="en-US" w:eastAsia="zh-CN"/>
              </w:rPr>
              <w:t>0</w:t>
            </w:r>
          </w:p>
        </w:tc>
        <w:tc>
          <w:tcPr>
            <w:tcW w:w="619" w:type="dxa"/>
            <w:tcBorders>
              <w:top w:val="single" w:color="auto" w:sz="4" w:space="0"/>
              <w:left w:val="single" w:color="auto" w:sz="4"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default" w:cs="宋体"/>
                <w:kern w:val="0"/>
                <w:sz w:val="16"/>
                <w:szCs w:val="16"/>
                <w:lang w:val="en-US" w:eastAsia="zh-CN"/>
              </w:rPr>
            </w:pPr>
            <w:r>
              <w:rPr>
                <w:rFonts w:hint="eastAsia" w:cs="宋体"/>
                <w:kern w:val="0"/>
                <w:sz w:val="16"/>
                <w:szCs w:val="16"/>
                <w:lang w:val="en-US" w:eastAsia="zh-CN"/>
              </w:rPr>
              <w:t>177</w:t>
            </w:r>
          </w:p>
        </w:tc>
      </w:tr>
    </w:tbl>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宋体" w:hAnsi="宋体" w:cs="宋体"/>
          <w:color w:val="333333"/>
          <w:kern w:val="0"/>
          <w:sz w:val="24"/>
          <w:szCs w:val="24"/>
        </w:rPr>
      </w:pPr>
      <w:r>
        <w:rPr>
          <w:rFonts w:hint="eastAsia" w:ascii="黑体" w:hAnsi="黑体" w:eastAsia="黑体" w:cs="黑体"/>
          <w:b w:val="0"/>
          <w:bCs w:val="0"/>
          <w:color w:val="333333"/>
          <w:kern w:val="0"/>
          <w:sz w:val="32"/>
          <w:szCs w:val="32"/>
        </w:rPr>
        <w:t>四、</w:t>
      </w:r>
      <w:r>
        <w:rPr>
          <w:rFonts w:hint="eastAsia" w:ascii="黑体" w:hAnsi="黑体" w:eastAsia="黑体" w:cs="黑体"/>
          <w:b w:val="0"/>
          <w:bCs w:val="0"/>
          <w:color w:val="333333"/>
          <w:kern w:val="0"/>
          <w:sz w:val="32"/>
          <w:szCs w:val="32"/>
          <w:lang w:val="en-US" w:eastAsia="zh-CN"/>
        </w:rPr>
        <w:t>因政府信息公开工作被申请行政复议、提起行政诉讼情况</w:t>
      </w:r>
    </w:p>
    <w:tbl>
      <w:tblPr>
        <w:tblStyle w:val="9"/>
        <w:tblW w:w="8053" w:type="dxa"/>
        <w:jc w:val="center"/>
        <w:tblInd w:w="0" w:type="dxa"/>
        <w:tblLayout w:type="fixed"/>
        <w:tblCellMar>
          <w:top w:w="0" w:type="dxa"/>
          <w:left w:w="0" w:type="dxa"/>
          <w:bottom w:w="0" w:type="dxa"/>
          <w:right w:w="0" w:type="dxa"/>
        </w:tblCellMar>
      </w:tblPr>
      <w:tblGrid>
        <w:gridCol w:w="530"/>
        <w:gridCol w:w="574"/>
        <w:gridCol w:w="553"/>
        <w:gridCol w:w="414"/>
        <w:gridCol w:w="550"/>
        <w:gridCol w:w="517"/>
        <w:gridCol w:w="466"/>
        <w:gridCol w:w="503"/>
        <w:gridCol w:w="483"/>
        <w:gridCol w:w="517"/>
        <w:gridCol w:w="446"/>
        <w:gridCol w:w="517"/>
        <w:gridCol w:w="583"/>
        <w:gridCol w:w="567"/>
        <w:gridCol w:w="833"/>
      </w:tblGrid>
      <w:tr>
        <w:tblPrEx>
          <w:tblLayout w:type="fixed"/>
          <w:tblCellMar>
            <w:top w:w="0" w:type="dxa"/>
            <w:left w:w="0" w:type="dxa"/>
            <w:bottom w:w="0" w:type="dxa"/>
            <w:right w:w="0" w:type="dxa"/>
          </w:tblCellMar>
        </w:tblPrEx>
        <w:trPr>
          <w:trHeight w:val="373" w:hRule="atLeast"/>
          <w:jc w:val="center"/>
        </w:trPr>
        <w:tc>
          <w:tcPr>
            <w:tcW w:w="2621"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kern w:val="0"/>
                <w:sz w:val="24"/>
                <w:szCs w:val="24"/>
              </w:rPr>
            </w:pPr>
            <w:r>
              <w:rPr>
                <w:rFonts w:hint="eastAsia" w:ascii="宋体" w:hAnsi="宋体" w:cs="宋体"/>
                <w:kern w:val="0"/>
                <w:sz w:val="20"/>
                <w:szCs w:val="20"/>
              </w:rPr>
              <w:t>行政复议</w:t>
            </w:r>
          </w:p>
        </w:tc>
        <w:tc>
          <w:tcPr>
            <w:tcW w:w="5432" w:type="dxa"/>
            <w:gridSpan w:val="10"/>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行政诉讼</w:t>
            </w:r>
          </w:p>
        </w:tc>
      </w:tr>
      <w:tr>
        <w:tblPrEx>
          <w:tblLayout w:type="fixed"/>
          <w:tblCellMar>
            <w:top w:w="0" w:type="dxa"/>
            <w:left w:w="0" w:type="dxa"/>
            <w:bottom w:w="0" w:type="dxa"/>
            <w:right w:w="0" w:type="dxa"/>
          </w:tblCellMar>
        </w:tblPrEx>
        <w:trPr>
          <w:trHeight w:val="373" w:hRule="atLeast"/>
          <w:jc w:val="center"/>
        </w:trPr>
        <w:tc>
          <w:tcPr>
            <w:tcW w:w="530" w:type="dxa"/>
            <w:vMerge w:val="restart"/>
            <w:tcBorders>
              <w:top w:val="single" w:color="auto" w:sz="8" w:space="0"/>
              <w:left w:val="single" w:color="auto" w:sz="8"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结果维持</w:t>
            </w:r>
          </w:p>
        </w:tc>
        <w:tc>
          <w:tcPr>
            <w:tcW w:w="574" w:type="dxa"/>
            <w:vMerge w:val="restart"/>
            <w:tcBorders>
              <w:top w:val="single" w:color="auto" w:sz="8"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553" w:type="dxa"/>
            <w:vMerge w:val="restart"/>
            <w:tcBorders>
              <w:top w:val="single" w:color="auto" w:sz="8"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r>
              <w:rPr>
                <w:rFonts w:hint="eastAsia" w:ascii="宋体" w:hAnsi="宋体" w:cs="宋体"/>
                <w:kern w:val="0"/>
                <w:sz w:val="20"/>
                <w:szCs w:val="20"/>
              </w:rPr>
              <w:br w:type="textWrapping"/>
            </w:r>
            <w:r>
              <w:rPr>
                <w:rFonts w:hint="eastAsia" w:ascii="宋体" w:hAnsi="宋体" w:cs="宋体"/>
                <w:kern w:val="0"/>
                <w:sz w:val="20"/>
                <w:szCs w:val="20"/>
              </w:rPr>
              <w:t>结果</w:t>
            </w:r>
          </w:p>
        </w:tc>
        <w:tc>
          <w:tcPr>
            <w:tcW w:w="414" w:type="dxa"/>
            <w:vMerge w:val="restart"/>
            <w:tcBorders>
              <w:top w:val="single" w:color="auto" w:sz="8"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550" w:type="dxa"/>
            <w:vMerge w:val="restart"/>
            <w:tcBorders>
              <w:top w:val="single" w:color="auto" w:sz="8"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c>
          <w:tcPr>
            <w:tcW w:w="2486" w:type="dxa"/>
            <w:gridSpan w:val="5"/>
            <w:tcBorders>
              <w:top w:val="single" w:color="auto" w:sz="8"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hint="eastAsia"/>
              </w:rPr>
            </w:pPr>
          </w:p>
          <w:p>
            <w:pPr>
              <w:widowControl/>
              <w:jc w:val="center"/>
              <w:rPr>
                <w:rFonts w:hint="eastAsia"/>
              </w:rPr>
            </w:pPr>
            <w:r>
              <w:rPr>
                <w:rFonts w:hint="eastAsia"/>
                <w:lang w:eastAsia="zh-CN"/>
              </w:rPr>
              <w:t>未</w:t>
            </w:r>
            <w:r>
              <w:rPr>
                <w:rFonts w:hint="eastAsia"/>
              </w:rPr>
              <w:t>经复议直接起诉</w:t>
            </w:r>
          </w:p>
          <w:p>
            <w:pPr>
              <w:pStyle w:val="2"/>
            </w:pPr>
          </w:p>
        </w:tc>
        <w:tc>
          <w:tcPr>
            <w:tcW w:w="2946" w:type="dxa"/>
            <w:gridSpan w:val="5"/>
            <w:tcBorders>
              <w:top w:val="single" w:color="auto" w:sz="8" w:space="0"/>
              <w:left w:val="single" w:color="auto" w:sz="4" w:space="0"/>
              <w:bottom w:val="single" w:color="auto" w:sz="4"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复议后起诉</w:t>
            </w:r>
          </w:p>
        </w:tc>
      </w:tr>
      <w:tr>
        <w:tblPrEx>
          <w:tblLayout w:type="fixed"/>
          <w:tblCellMar>
            <w:top w:w="0" w:type="dxa"/>
            <w:left w:w="0" w:type="dxa"/>
            <w:bottom w:w="0" w:type="dxa"/>
            <w:right w:w="0" w:type="dxa"/>
          </w:tblCellMar>
        </w:tblPrEx>
        <w:trPr>
          <w:trHeight w:val="766" w:hRule="atLeast"/>
          <w:jc w:val="center"/>
        </w:trPr>
        <w:tc>
          <w:tcPr>
            <w:tcW w:w="530"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5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5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4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5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51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维持</w:t>
            </w:r>
          </w:p>
        </w:tc>
        <w:tc>
          <w:tcPr>
            <w:tcW w:w="466"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503"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r>
              <w:rPr>
                <w:rFonts w:hint="eastAsia" w:ascii="宋体" w:hAnsi="宋体" w:cs="宋体"/>
                <w:kern w:val="0"/>
                <w:sz w:val="20"/>
                <w:szCs w:val="20"/>
              </w:rPr>
              <w:br w:type="textWrapping"/>
            </w:r>
            <w:r>
              <w:rPr>
                <w:rFonts w:hint="eastAsia" w:ascii="宋体" w:hAnsi="宋体" w:cs="宋体"/>
                <w:kern w:val="0"/>
                <w:sz w:val="20"/>
                <w:szCs w:val="20"/>
              </w:rPr>
              <w:t>结果</w:t>
            </w:r>
          </w:p>
        </w:tc>
        <w:tc>
          <w:tcPr>
            <w:tcW w:w="483"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51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总计</w:t>
            </w:r>
          </w:p>
        </w:tc>
        <w:tc>
          <w:tcPr>
            <w:tcW w:w="446"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维持</w:t>
            </w:r>
          </w:p>
        </w:tc>
        <w:tc>
          <w:tcPr>
            <w:tcW w:w="51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583"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其他</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结果</w:t>
            </w:r>
          </w:p>
        </w:tc>
        <w:tc>
          <w:tcPr>
            <w:tcW w:w="56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833" w:type="dxa"/>
            <w:tcBorders>
              <w:top w:val="single" w:color="auto" w:sz="4" w:space="0"/>
              <w:left w:val="single" w:color="auto" w:sz="4" w:space="0"/>
              <w:bottom w:val="single" w:color="auto" w:sz="4"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总计</w:t>
            </w:r>
          </w:p>
        </w:tc>
      </w:tr>
      <w:tr>
        <w:tblPrEx>
          <w:tblLayout w:type="fixed"/>
          <w:tblCellMar>
            <w:top w:w="0" w:type="dxa"/>
            <w:left w:w="0" w:type="dxa"/>
            <w:bottom w:w="0" w:type="dxa"/>
            <w:right w:w="0" w:type="dxa"/>
          </w:tblCellMar>
        </w:tblPrEx>
        <w:trPr>
          <w:trHeight w:val="797" w:hRule="atLeast"/>
          <w:jc w:val="center"/>
        </w:trPr>
        <w:tc>
          <w:tcPr>
            <w:tcW w:w="530" w:type="dxa"/>
            <w:tcBorders>
              <w:top w:val="single" w:color="auto" w:sz="4"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304</w:t>
            </w:r>
          </w:p>
        </w:tc>
        <w:tc>
          <w:tcPr>
            <w:tcW w:w="574"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124</w:t>
            </w:r>
          </w:p>
        </w:tc>
        <w:tc>
          <w:tcPr>
            <w:tcW w:w="553"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177</w:t>
            </w:r>
          </w:p>
        </w:tc>
        <w:tc>
          <w:tcPr>
            <w:tcW w:w="414"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77</w:t>
            </w:r>
          </w:p>
        </w:tc>
        <w:tc>
          <w:tcPr>
            <w:tcW w:w="550"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682</w:t>
            </w:r>
          </w:p>
        </w:tc>
        <w:tc>
          <w:tcPr>
            <w:tcW w:w="517"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322</w:t>
            </w:r>
          </w:p>
        </w:tc>
        <w:tc>
          <w:tcPr>
            <w:tcW w:w="466"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46</w:t>
            </w:r>
          </w:p>
        </w:tc>
        <w:tc>
          <w:tcPr>
            <w:tcW w:w="503"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135</w:t>
            </w:r>
          </w:p>
        </w:tc>
        <w:tc>
          <w:tcPr>
            <w:tcW w:w="483"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78</w:t>
            </w:r>
          </w:p>
        </w:tc>
        <w:tc>
          <w:tcPr>
            <w:tcW w:w="517"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581</w:t>
            </w:r>
          </w:p>
        </w:tc>
        <w:tc>
          <w:tcPr>
            <w:tcW w:w="446"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82</w:t>
            </w:r>
          </w:p>
        </w:tc>
        <w:tc>
          <w:tcPr>
            <w:tcW w:w="517"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14</w:t>
            </w:r>
          </w:p>
        </w:tc>
        <w:tc>
          <w:tcPr>
            <w:tcW w:w="583"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18</w:t>
            </w:r>
          </w:p>
        </w:tc>
        <w:tc>
          <w:tcPr>
            <w:tcW w:w="567"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12</w:t>
            </w:r>
          </w:p>
        </w:tc>
        <w:tc>
          <w:tcPr>
            <w:tcW w:w="833" w:type="dxa"/>
            <w:tcBorders>
              <w:top w:val="single" w:color="auto" w:sz="4"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cs="宋体"/>
                <w:kern w:val="0"/>
                <w:sz w:val="15"/>
                <w:szCs w:val="15"/>
                <w:lang w:val="en-US" w:eastAsia="zh-CN"/>
              </w:rPr>
            </w:pPr>
            <w:r>
              <w:rPr>
                <w:rFonts w:hint="eastAsia" w:cs="宋体"/>
                <w:kern w:val="0"/>
                <w:sz w:val="15"/>
                <w:szCs w:val="15"/>
                <w:lang w:val="en-US" w:eastAsia="zh-CN"/>
              </w:rPr>
              <w:t>126</w:t>
            </w:r>
          </w:p>
        </w:tc>
      </w:tr>
    </w:tbl>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黑体"/>
          <w:bCs/>
          <w:color w:val="333333"/>
          <w:kern w:val="0"/>
          <w:sz w:val="32"/>
          <w:szCs w:val="32"/>
        </w:rPr>
      </w:pPr>
      <w:r>
        <w:rPr>
          <w:rFonts w:hint="eastAsia" w:ascii="Times New Roman" w:hAnsi="Times New Roman" w:eastAsia="黑体"/>
          <w:bCs/>
          <w:color w:val="333333"/>
          <w:kern w:val="0"/>
          <w:sz w:val="32"/>
          <w:szCs w:val="32"/>
        </w:rPr>
        <w:t>五、存在的主要问题及改进情况</w:t>
      </w:r>
    </w:p>
    <w:p>
      <w:pPr>
        <w:keepNext w:val="0"/>
        <w:keepLines w:val="0"/>
        <w:pageBreakBefore w:val="0"/>
        <w:kinsoku/>
        <w:wordWrap/>
        <w:overflowPunct/>
        <w:topLinePunct w:val="0"/>
        <w:autoSpaceDE/>
        <w:autoSpaceDN/>
        <w:bidi w:val="0"/>
        <w:adjustRightInd/>
        <w:snapToGrid/>
        <w:spacing w:line="600" w:lineRule="exact"/>
        <w:ind w:firstLine="646"/>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对标</w:t>
      </w:r>
      <w:r>
        <w:rPr>
          <w:rFonts w:hint="eastAsia" w:eastAsia="仿宋_GB2312" w:cs="Times New Roman"/>
          <w:kern w:val="0"/>
          <w:sz w:val="32"/>
          <w:szCs w:val="32"/>
          <w:lang w:val="en-US" w:eastAsia="zh-CN"/>
        </w:rPr>
        <w:t>国务院办公厅政务公开办</w:t>
      </w:r>
      <w:r>
        <w:rPr>
          <w:rFonts w:hint="eastAsia" w:ascii="Times New Roman" w:hAnsi="Times New Roman" w:eastAsia="仿宋_GB2312"/>
          <w:sz w:val="32"/>
          <w:szCs w:val="32"/>
          <w:lang w:eastAsia="zh-CN"/>
        </w:rPr>
        <w:t>组织开展的全国</w:t>
      </w:r>
      <w:r>
        <w:rPr>
          <w:rFonts w:hint="eastAsia" w:ascii="Times New Roman" w:hAnsi="Times New Roman" w:eastAsia="仿宋_GB2312"/>
          <w:sz w:val="32"/>
          <w:szCs w:val="32"/>
          <w:lang w:val="en-US" w:eastAsia="zh-CN"/>
        </w:rPr>
        <w:t>2020年政务公开</w:t>
      </w:r>
      <w:r>
        <w:rPr>
          <w:rFonts w:hint="eastAsia" w:ascii="Times New Roman" w:hAnsi="Times New Roman" w:eastAsia="仿宋_GB2312"/>
          <w:sz w:val="32"/>
          <w:szCs w:val="32"/>
        </w:rPr>
        <w:t>第三方评估</w:t>
      </w:r>
      <w:r>
        <w:rPr>
          <w:rFonts w:hint="eastAsia" w:ascii="Times New Roman" w:hAnsi="Times New Roman" w:eastAsia="仿宋_GB2312"/>
          <w:sz w:val="32"/>
          <w:szCs w:val="32"/>
          <w:lang w:eastAsia="zh-CN"/>
        </w:rPr>
        <w:t>结果</w:t>
      </w:r>
      <w:r>
        <w:rPr>
          <w:rFonts w:hint="eastAsia" w:ascii="Times New Roman" w:hAnsi="Times New Roman" w:eastAsia="仿宋_GB2312"/>
          <w:sz w:val="32"/>
          <w:szCs w:val="32"/>
        </w:rPr>
        <w:t>，主要存在</w:t>
      </w:r>
      <w:r>
        <w:rPr>
          <w:rFonts w:hint="eastAsia" w:ascii="Times New Roman" w:hAnsi="Times New Roman" w:eastAsia="仿宋_GB2312"/>
          <w:sz w:val="32"/>
          <w:szCs w:val="32"/>
          <w:lang w:eastAsia="zh-CN"/>
        </w:rPr>
        <w:t>基层单位公开不规范、不准确、不及时的问题。今年拟组织开展首次全省政务公开第三方评估，以即将出台的政务公开评估规范地方标准为基础评价指标，对全省各级各部门政务公开工作进行系统评估，</w:t>
      </w:r>
      <w:r>
        <w:rPr>
          <w:rFonts w:hint="eastAsia" w:ascii="Times New Roman" w:hAnsi="Times New Roman" w:eastAsia="仿宋_GB2312" w:cs="Times New Roman"/>
          <w:sz w:val="32"/>
          <w:szCs w:val="32"/>
          <w:lang w:eastAsia="zh-CN"/>
        </w:rPr>
        <w:t>并对评估发现的问题精准督改</w:t>
      </w:r>
      <w:r>
        <w:rPr>
          <w:rFonts w:hint="eastAsia" w:ascii="Times New Roman" w:hAnsi="Times New Roman" w:eastAsia="仿宋_GB2312"/>
          <w:sz w:val="32"/>
          <w:szCs w:val="32"/>
        </w:rPr>
        <w:t>。</w:t>
      </w:r>
    </w:p>
    <w:p>
      <w:pPr>
        <w:pStyle w:val="2"/>
        <w:rPr>
          <w:rFonts w:hint="eastAsia" w:ascii="Times New Roman" w:hAnsi="Times New Roman" w:eastAsia="黑体"/>
          <w:bCs/>
          <w:color w:val="333333"/>
          <w:kern w:val="0"/>
          <w:sz w:val="32"/>
          <w:szCs w:val="32"/>
        </w:rPr>
      </w:pPr>
      <w:r>
        <w:rPr>
          <w:rFonts w:hint="eastAsia" w:ascii="Times New Roman" w:hAnsi="Times New Roman" w:eastAsia="黑体"/>
          <w:bCs/>
          <w:color w:val="333333"/>
          <w:kern w:val="0"/>
          <w:sz w:val="32"/>
          <w:szCs w:val="32"/>
        </w:rPr>
        <w:t>六、其他需要报告的事项</w:t>
      </w:r>
    </w:p>
    <w:p>
      <w:pPr>
        <w:pStyle w:val="2"/>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2021年全省各级各部门未向申请人收取信息处理费。</w:t>
      </w:r>
    </w:p>
    <w:p>
      <w:pPr>
        <w:pStyle w:val="2"/>
        <w:rPr>
          <w:rFonts w:hint="default" w:ascii="Times New Roman" w:hAnsi="Times New Roman" w:eastAsia="仿宋_GB2312" w:cs="Times New Roman"/>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77FA14F"/>
    <w:rsid w:val="0FF92699"/>
    <w:rsid w:val="2D576FF3"/>
    <w:rsid w:val="2DEB80BB"/>
    <w:rsid w:val="35FD0348"/>
    <w:rsid w:val="373CC694"/>
    <w:rsid w:val="37BF5B12"/>
    <w:rsid w:val="37FF2D01"/>
    <w:rsid w:val="3B6BF3C2"/>
    <w:rsid w:val="3D5F028E"/>
    <w:rsid w:val="3EAB0813"/>
    <w:rsid w:val="3FB96446"/>
    <w:rsid w:val="3FFFE786"/>
    <w:rsid w:val="4FDFFF6F"/>
    <w:rsid w:val="4FFEF6F9"/>
    <w:rsid w:val="4FFF3D0F"/>
    <w:rsid w:val="5743C4B1"/>
    <w:rsid w:val="5A3CDA17"/>
    <w:rsid w:val="5FFB96A8"/>
    <w:rsid w:val="67FFBD74"/>
    <w:rsid w:val="6DBE10CE"/>
    <w:rsid w:val="6F672C6F"/>
    <w:rsid w:val="6FDCD9E5"/>
    <w:rsid w:val="6FFBA7A3"/>
    <w:rsid w:val="74FDF8D5"/>
    <w:rsid w:val="77FEA8E2"/>
    <w:rsid w:val="799732C4"/>
    <w:rsid w:val="7ADF9005"/>
    <w:rsid w:val="7B750445"/>
    <w:rsid w:val="7BDF1BF7"/>
    <w:rsid w:val="7BF4D050"/>
    <w:rsid w:val="7BFEBE49"/>
    <w:rsid w:val="7EF721D3"/>
    <w:rsid w:val="7F8F1703"/>
    <w:rsid w:val="7F9FC888"/>
    <w:rsid w:val="7FDD9112"/>
    <w:rsid w:val="7FFFD717"/>
    <w:rsid w:val="8FB6B704"/>
    <w:rsid w:val="9BF9AF82"/>
    <w:rsid w:val="9CBF144A"/>
    <w:rsid w:val="9EBD42AE"/>
    <w:rsid w:val="A7FE2915"/>
    <w:rsid w:val="A7FFAB64"/>
    <w:rsid w:val="ABFE8326"/>
    <w:rsid w:val="B1EF8CC7"/>
    <w:rsid w:val="B2E955A2"/>
    <w:rsid w:val="B3FEA8D3"/>
    <w:rsid w:val="B67DDC98"/>
    <w:rsid w:val="BB8ED990"/>
    <w:rsid w:val="BEB42A05"/>
    <w:rsid w:val="BFF775F7"/>
    <w:rsid w:val="D5648EC6"/>
    <w:rsid w:val="DA9FADB6"/>
    <w:rsid w:val="DCAD28E0"/>
    <w:rsid w:val="DF3F9CCA"/>
    <w:rsid w:val="DFFF0A4B"/>
    <w:rsid w:val="E1F6F2DD"/>
    <w:rsid w:val="E76F7F4C"/>
    <w:rsid w:val="E76F9B5E"/>
    <w:rsid w:val="EB9DE200"/>
    <w:rsid w:val="EEFF9AD8"/>
    <w:rsid w:val="F7FF82D5"/>
    <w:rsid w:val="F8FF4047"/>
    <w:rsid w:val="FA6E698A"/>
    <w:rsid w:val="FBA6B850"/>
    <w:rsid w:val="FBFBA253"/>
    <w:rsid w:val="FDB7BABA"/>
    <w:rsid w:val="FDBFA7C2"/>
    <w:rsid w:val="FE76FFDE"/>
    <w:rsid w:val="FE93D839"/>
    <w:rsid w:val="FEDB022A"/>
    <w:rsid w:val="FF3267D3"/>
    <w:rsid w:val="FF5CEC8B"/>
    <w:rsid w:val="FFFE86DE"/>
    <w:rsid w:val="FFFF46F3"/>
    <w:rsid w:val="FFFFE9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3"/>
    <w:basedOn w:val="1"/>
    <w:next w:val="1"/>
    <w:unhideWhenUsed/>
    <w:qFormat/>
    <w:uiPriority w:val="0"/>
    <w:pPr>
      <w:spacing w:before="100" w:beforeAutospacing="1" w:after="10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iPriority w:val="0"/>
  </w:style>
  <w:style w:type="table" w:default="1" w:styleId="9">
    <w:name w:val="Normal Table"/>
    <w:semiHidden/>
    <w:uiPriority w:val="0"/>
    <w:tblPr>
      <w:tblStyle w:val="9"/>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1.33333333333333</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2014-11-01T20:08:00Z</dcterms:created>
  <dc:creator>Administrator</dc:creator>
  <cp:lastModifiedBy>Lenovo</cp:lastModifiedBy>
  <cp:lastPrinted>2022-03-29T03:46:38Z</cp:lastPrinted>
  <dcterms:modified xsi:type="dcterms:W3CDTF">2022-03-31T08:51:53Z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